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3C" w:rsidRPr="001F1B0B" w:rsidRDefault="00CB4F3C">
      <w:pPr>
        <w:pStyle w:val="Standard"/>
        <w:spacing w:before="3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4F3C" w:rsidRPr="001F1B0B" w:rsidRDefault="00585883" w:rsidP="002949C8">
      <w:pPr>
        <w:pStyle w:val="Standard"/>
        <w:spacing w:before="30"/>
        <w:jc w:val="center"/>
        <w:rPr>
          <w:rFonts w:ascii="Arial" w:hAnsi="Arial" w:cs="Arial"/>
          <w:b/>
        </w:rPr>
      </w:pPr>
      <w:r w:rsidRPr="001F1B0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USO DO EXTRATO DE </w:t>
      </w:r>
      <w:r w:rsidRPr="001F1B0B">
        <w:rPr>
          <w:rFonts w:ascii="Arial" w:eastAsia="Times New Roman" w:hAnsi="Arial" w:cs="Arial"/>
          <w:b/>
          <w:i/>
          <w:sz w:val="24"/>
          <w:szCs w:val="24"/>
          <w:lang w:eastAsia="pt-BR"/>
        </w:rPr>
        <w:t>E</w:t>
      </w:r>
      <w:r w:rsidR="000A3915" w:rsidRPr="001F1B0B">
        <w:rPr>
          <w:rFonts w:ascii="Arial" w:eastAsia="Times New Roman" w:hAnsi="Arial" w:cs="Arial"/>
          <w:b/>
          <w:i/>
          <w:sz w:val="24"/>
          <w:szCs w:val="24"/>
          <w:lang w:eastAsia="pt-BR"/>
        </w:rPr>
        <w:t>uphorbia</w:t>
      </w:r>
      <w:r w:rsidR="000C67B2" w:rsidRPr="001F1B0B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r w:rsidR="000A3915" w:rsidRPr="001F1B0B">
        <w:rPr>
          <w:rFonts w:ascii="Arial" w:eastAsia="Times New Roman" w:hAnsi="Arial" w:cs="Arial"/>
          <w:b/>
          <w:i/>
          <w:sz w:val="24"/>
          <w:szCs w:val="24"/>
          <w:lang w:eastAsia="pt-BR"/>
        </w:rPr>
        <w:t>tirucalli</w:t>
      </w:r>
      <w:r w:rsidR="000C67B2" w:rsidRPr="001F1B0B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r w:rsidRPr="001F1B0B">
        <w:rPr>
          <w:rFonts w:ascii="Arial" w:eastAsia="Times New Roman" w:hAnsi="Arial" w:cs="Arial"/>
          <w:b/>
          <w:i/>
          <w:sz w:val="24"/>
          <w:szCs w:val="24"/>
          <w:lang w:eastAsia="pt-BR"/>
        </w:rPr>
        <w:t>L</w:t>
      </w:r>
      <w:r w:rsidRPr="001F1B0B">
        <w:rPr>
          <w:rFonts w:ascii="Arial" w:eastAsia="Times New Roman" w:hAnsi="Arial" w:cs="Arial"/>
          <w:b/>
          <w:sz w:val="24"/>
          <w:szCs w:val="24"/>
          <w:lang w:eastAsia="pt-BR"/>
        </w:rPr>
        <w:t>. NA A</w:t>
      </w:r>
      <w:r w:rsidRPr="001F1B0B">
        <w:rPr>
          <w:rFonts w:ascii="Arial" w:hAnsi="Arial" w:cs="Arial"/>
          <w:b/>
          <w:sz w:val="24"/>
          <w:szCs w:val="24"/>
        </w:rPr>
        <w:t xml:space="preserve">TIVAÇÃO DE MACRÓFAGOS </w:t>
      </w:r>
      <w:r w:rsidRPr="001F1B0B">
        <w:rPr>
          <w:rFonts w:ascii="Arial" w:eastAsia="Times New Roman" w:hAnsi="Arial" w:cs="Arial"/>
          <w:b/>
          <w:sz w:val="24"/>
          <w:szCs w:val="24"/>
          <w:lang w:eastAsia="pt-BR"/>
        </w:rPr>
        <w:t>PERITONEAIS DE RATOS WISTAR</w:t>
      </w:r>
    </w:p>
    <w:p w:rsidR="00CB4F3C" w:rsidRPr="001F1B0B" w:rsidRDefault="006767CE">
      <w:pPr>
        <w:pStyle w:val="Standard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1B0B">
        <w:rPr>
          <w:rFonts w:ascii="Arial" w:hAnsi="Arial" w:cs="Arial"/>
          <w:sz w:val="24"/>
          <w:szCs w:val="24"/>
        </w:rPr>
        <w:t>Suzany Hellen</w:t>
      </w:r>
      <w:r w:rsidR="00585883" w:rsidRPr="001F1B0B">
        <w:rPr>
          <w:rFonts w:ascii="Arial" w:hAnsi="Arial" w:cs="Arial"/>
          <w:sz w:val="24"/>
          <w:szCs w:val="24"/>
        </w:rPr>
        <w:t xml:space="preserve"> da Silva</w:t>
      </w:r>
      <w:r w:rsidRPr="001F1B0B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CF4D30" w:rsidRPr="001F1B0B" w:rsidRDefault="00CF4D30">
      <w:pPr>
        <w:pStyle w:val="Standard"/>
        <w:spacing w:after="0" w:line="240" w:lineRule="auto"/>
        <w:jc w:val="right"/>
      </w:pPr>
    </w:p>
    <w:p w:rsidR="00CB4F3C" w:rsidRPr="001F1B0B" w:rsidRDefault="00CF4D30">
      <w:pPr>
        <w:pStyle w:val="Standard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1B0B">
        <w:rPr>
          <w:rFonts w:ascii="Arial" w:hAnsi="Arial" w:cs="Arial"/>
          <w:sz w:val="24"/>
          <w:szCs w:val="24"/>
        </w:rPr>
        <w:t>Adriana Aya</w:t>
      </w:r>
      <w:r w:rsidR="00F1199E" w:rsidRPr="001F1B0B">
        <w:rPr>
          <w:rFonts w:ascii="Arial" w:hAnsi="Arial" w:cs="Arial"/>
          <w:sz w:val="24"/>
          <w:szCs w:val="24"/>
        </w:rPr>
        <w:t xml:space="preserve"> </w:t>
      </w:r>
      <w:r w:rsidRPr="001F1B0B">
        <w:rPr>
          <w:rFonts w:ascii="Arial" w:hAnsi="Arial" w:cs="Arial"/>
          <w:sz w:val="24"/>
          <w:szCs w:val="24"/>
        </w:rPr>
        <w:t>Yamaguchi</w:t>
      </w:r>
      <w:r w:rsidRPr="001F1B0B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CB4F3C" w:rsidRPr="001F1B0B" w:rsidRDefault="00CB4F3C">
      <w:pPr>
        <w:pStyle w:val="Standard"/>
        <w:spacing w:after="0" w:line="240" w:lineRule="auto"/>
        <w:jc w:val="right"/>
      </w:pPr>
    </w:p>
    <w:p w:rsidR="00CF4D30" w:rsidRPr="001F1B0B" w:rsidRDefault="00CF4D30" w:rsidP="00CF4D30">
      <w:pPr>
        <w:pStyle w:val="Standard"/>
        <w:spacing w:after="0" w:line="240" w:lineRule="auto"/>
        <w:jc w:val="right"/>
      </w:pPr>
      <w:r w:rsidRPr="001F1B0B">
        <w:rPr>
          <w:rFonts w:ascii="Arial" w:hAnsi="Arial" w:cs="Arial"/>
          <w:sz w:val="24"/>
          <w:szCs w:val="24"/>
        </w:rPr>
        <w:t>Sandro José Ribeiro Bonatto</w:t>
      </w:r>
      <w:r w:rsidRPr="001F1B0B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CF4D30" w:rsidRPr="001F1B0B" w:rsidRDefault="00CF4D30" w:rsidP="00CF4D30">
      <w:pPr>
        <w:pStyle w:val="Standard"/>
        <w:spacing w:after="0" w:line="240" w:lineRule="auto"/>
        <w:jc w:val="right"/>
      </w:pPr>
    </w:p>
    <w:p w:rsidR="00CB4F3C" w:rsidRPr="001F1B0B" w:rsidRDefault="00CB4F3C">
      <w:pPr>
        <w:pStyle w:val="Standard"/>
        <w:spacing w:after="0" w:line="360" w:lineRule="auto"/>
        <w:jc w:val="both"/>
      </w:pPr>
    </w:p>
    <w:p w:rsidR="00CB4F3C" w:rsidRPr="001F1B0B" w:rsidRDefault="006767CE" w:rsidP="0063463F">
      <w:p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B0B">
        <w:rPr>
          <w:rFonts w:ascii="Arial" w:hAnsi="Arial" w:cs="Arial"/>
          <w:b/>
          <w:sz w:val="24"/>
          <w:szCs w:val="24"/>
        </w:rPr>
        <w:t xml:space="preserve"> </w:t>
      </w:r>
      <w:r w:rsidR="0094524E" w:rsidRPr="001F1B0B">
        <w:rPr>
          <w:rFonts w:ascii="Arial" w:hAnsi="Arial" w:cs="Arial"/>
          <w:sz w:val="24"/>
          <w:szCs w:val="24"/>
        </w:rPr>
        <w:t>O macrófago é uma célula da linhagem mielóide e reside na maioria dos tecidos conjuntivos ou no parênquima de alguns órgãos</w:t>
      </w:r>
      <w:r w:rsidR="00CF4D30" w:rsidRPr="001F1B0B">
        <w:rPr>
          <w:rFonts w:ascii="Arial" w:hAnsi="Arial" w:cs="Arial"/>
          <w:sz w:val="24"/>
          <w:szCs w:val="24"/>
        </w:rPr>
        <w:t>. É</w:t>
      </w:r>
      <w:r w:rsidR="0094524E" w:rsidRPr="001F1B0B">
        <w:rPr>
          <w:rFonts w:ascii="Arial" w:hAnsi="Arial" w:cs="Arial"/>
          <w:sz w:val="24"/>
          <w:szCs w:val="24"/>
        </w:rPr>
        <w:t xml:space="preserve"> a forma adulta dos monócitos, que circulam no sangue </w:t>
      </w:r>
      <w:r w:rsidR="0063463F" w:rsidRPr="001F1B0B">
        <w:rPr>
          <w:rFonts w:ascii="Arial" w:hAnsi="Arial" w:cs="Arial"/>
          <w:sz w:val="24"/>
          <w:szCs w:val="24"/>
        </w:rPr>
        <w:t>periférico</w:t>
      </w:r>
      <w:r w:rsidR="00CF4D30" w:rsidRPr="001F1B0B">
        <w:rPr>
          <w:rFonts w:ascii="Arial" w:hAnsi="Arial" w:cs="Arial"/>
          <w:sz w:val="24"/>
          <w:szCs w:val="24"/>
        </w:rPr>
        <w:t>,</w:t>
      </w:r>
      <w:r w:rsidR="0063463F" w:rsidRPr="001F1B0B">
        <w:rPr>
          <w:rFonts w:ascii="Arial" w:hAnsi="Arial" w:cs="Arial"/>
          <w:sz w:val="24"/>
          <w:szCs w:val="24"/>
        </w:rPr>
        <w:t xml:space="preserve"> migrando</w:t>
      </w:r>
      <w:r w:rsidR="0094524E" w:rsidRPr="001F1B0B">
        <w:rPr>
          <w:rFonts w:ascii="Arial" w:hAnsi="Arial" w:cs="Arial"/>
          <w:sz w:val="24"/>
          <w:szCs w:val="24"/>
        </w:rPr>
        <w:t xml:space="preserve"> para esses </w:t>
      </w:r>
      <w:r w:rsidR="007033F4" w:rsidRPr="001F1B0B">
        <w:rPr>
          <w:rFonts w:ascii="Arial" w:hAnsi="Arial" w:cs="Arial"/>
          <w:sz w:val="24"/>
          <w:szCs w:val="24"/>
        </w:rPr>
        <w:t>tecidos conforme a necessidade.</w:t>
      </w:r>
      <w:r w:rsidR="0063463F" w:rsidRPr="001F1B0B">
        <w:rPr>
          <w:rFonts w:ascii="Arial" w:hAnsi="Arial" w:cs="Arial"/>
          <w:sz w:val="24"/>
          <w:szCs w:val="24"/>
        </w:rPr>
        <w:t xml:space="preserve"> </w:t>
      </w:r>
      <w:r w:rsidR="007033F4" w:rsidRPr="001F1B0B">
        <w:rPr>
          <w:rFonts w:ascii="Arial" w:hAnsi="Arial" w:cs="Arial"/>
          <w:sz w:val="24"/>
          <w:szCs w:val="24"/>
        </w:rPr>
        <w:t>Participam</w:t>
      </w:r>
      <w:r w:rsidR="0094524E" w:rsidRPr="001F1B0B">
        <w:rPr>
          <w:rFonts w:ascii="Arial" w:hAnsi="Arial" w:cs="Arial"/>
          <w:sz w:val="24"/>
          <w:szCs w:val="24"/>
        </w:rPr>
        <w:t xml:space="preserve"> tanto da defesa primária do organismo, como fagócitos, quanto na defesa secundária, como célula apresentadora de antígeno. Essas células permanecem no tecido em estado in</w:t>
      </w:r>
      <w:r w:rsidR="00DA5A1E" w:rsidRPr="001F1B0B">
        <w:rPr>
          <w:rFonts w:ascii="Arial" w:hAnsi="Arial" w:cs="Arial"/>
          <w:sz w:val="24"/>
          <w:szCs w:val="24"/>
        </w:rPr>
        <w:t>erte</w:t>
      </w:r>
      <w:r w:rsidR="00196E43" w:rsidRPr="001F1B0B">
        <w:rPr>
          <w:rFonts w:ascii="Arial" w:hAnsi="Arial" w:cs="Arial"/>
          <w:sz w:val="24"/>
          <w:szCs w:val="24"/>
        </w:rPr>
        <w:t>, porém</w:t>
      </w:r>
      <w:r w:rsidR="00F91758" w:rsidRPr="001F1B0B">
        <w:rPr>
          <w:rFonts w:ascii="Arial" w:hAnsi="Arial" w:cs="Arial"/>
          <w:sz w:val="24"/>
          <w:szCs w:val="24"/>
        </w:rPr>
        <w:t xml:space="preserve"> </w:t>
      </w:r>
      <w:r w:rsidR="00196E43" w:rsidRPr="001F1B0B">
        <w:rPr>
          <w:rFonts w:ascii="Arial" w:hAnsi="Arial" w:cs="Arial"/>
          <w:sz w:val="24"/>
          <w:szCs w:val="24"/>
        </w:rPr>
        <w:t>quando estimulados pela presença de um microorganismo invasor ou por outros compostos, como o PMA (acetato miristrato de forbol), entra em seu estado ativo, englobando, degradando e matando o patógeno</w:t>
      </w:r>
      <w:r w:rsidR="00E350E6" w:rsidRPr="001F1B0B">
        <w:rPr>
          <w:rFonts w:ascii="Arial" w:hAnsi="Arial" w:cs="Arial"/>
          <w:sz w:val="24"/>
          <w:szCs w:val="24"/>
        </w:rPr>
        <w:t>.</w:t>
      </w:r>
      <w:r w:rsidR="0094524E" w:rsidRPr="001F1B0B">
        <w:rPr>
          <w:rFonts w:ascii="Arial" w:hAnsi="Arial" w:cs="Arial"/>
          <w:sz w:val="24"/>
          <w:szCs w:val="24"/>
        </w:rPr>
        <w:t xml:space="preserve"> No látex da planta </w:t>
      </w:r>
      <w:r w:rsidR="0094524E" w:rsidRPr="001F1B0B">
        <w:rPr>
          <w:rFonts w:ascii="Arial" w:eastAsia="Times New Roman" w:hAnsi="Arial" w:cs="Arial"/>
          <w:i/>
          <w:sz w:val="24"/>
          <w:szCs w:val="24"/>
          <w:lang w:eastAsia="pt-BR"/>
        </w:rPr>
        <w:t>Euphorbia</w:t>
      </w:r>
      <w:r w:rsidR="004B0621" w:rsidRPr="001F1B0B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="0094524E" w:rsidRPr="001F1B0B">
        <w:rPr>
          <w:rFonts w:ascii="Arial" w:eastAsia="Times New Roman" w:hAnsi="Arial" w:cs="Arial"/>
          <w:i/>
          <w:sz w:val="24"/>
          <w:szCs w:val="24"/>
          <w:lang w:eastAsia="pt-BR"/>
        </w:rPr>
        <w:t>tirucalli L</w:t>
      </w:r>
      <w:r w:rsidR="0094524E" w:rsidRPr="001F1B0B">
        <w:rPr>
          <w:rFonts w:ascii="Arial" w:eastAsia="Times New Roman" w:hAnsi="Arial" w:cs="Arial"/>
          <w:sz w:val="24"/>
          <w:szCs w:val="24"/>
          <w:lang w:eastAsia="pt-BR"/>
        </w:rPr>
        <w:t>., conhecida comumente como Aveloz, dentre outros com</w:t>
      </w:r>
      <w:r w:rsidR="0094524E" w:rsidRPr="001F1B0B">
        <w:rPr>
          <w:rFonts w:ascii="Arial" w:hAnsi="Arial" w:cs="Arial"/>
          <w:sz w:val="24"/>
          <w:szCs w:val="24"/>
        </w:rPr>
        <w:t xml:space="preserve">postos, está presente os chamados diterpenos do tipo tigliano, </w:t>
      </w:r>
      <w:r w:rsidR="004B0621" w:rsidRPr="001F1B0B">
        <w:rPr>
          <w:rFonts w:ascii="Arial" w:hAnsi="Arial" w:cs="Arial"/>
          <w:sz w:val="24"/>
          <w:szCs w:val="24"/>
        </w:rPr>
        <w:t>que são ésteres de forbol, os quais, assim como o PMA</w:t>
      </w:r>
      <w:r w:rsidR="00196E43" w:rsidRPr="001F1B0B">
        <w:rPr>
          <w:rFonts w:ascii="Arial" w:hAnsi="Arial" w:cs="Arial"/>
          <w:sz w:val="24"/>
          <w:szCs w:val="24"/>
        </w:rPr>
        <w:t xml:space="preserve"> podem</w:t>
      </w:r>
      <w:r w:rsidR="004B0621" w:rsidRPr="001F1B0B">
        <w:rPr>
          <w:rFonts w:ascii="Arial" w:hAnsi="Arial" w:cs="Arial"/>
          <w:sz w:val="24"/>
          <w:szCs w:val="24"/>
        </w:rPr>
        <w:t xml:space="preserve"> ativar os macrófagos</w:t>
      </w:r>
      <w:r w:rsidR="0094524E" w:rsidRPr="001F1B0B">
        <w:rPr>
          <w:rFonts w:ascii="Arial" w:hAnsi="Arial" w:cs="Arial"/>
          <w:sz w:val="24"/>
          <w:szCs w:val="24"/>
        </w:rPr>
        <w:t>, potencializando a resposta imune</w:t>
      </w:r>
      <w:r w:rsidR="00196E43" w:rsidRPr="001F1B0B">
        <w:rPr>
          <w:rFonts w:ascii="Arial" w:hAnsi="Arial" w:cs="Arial"/>
          <w:sz w:val="24"/>
          <w:szCs w:val="24"/>
        </w:rPr>
        <w:t>, além de servir como</w:t>
      </w:r>
      <w:r w:rsidR="0094524E" w:rsidRPr="001F1B0B">
        <w:rPr>
          <w:rFonts w:ascii="Arial" w:hAnsi="Arial" w:cs="Arial"/>
          <w:sz w:val="24"/>
          <w:szCs w:val="24"/>
        </w:rPr>
        <w:t xml:space="preserve"> altern</w:t>
      </w:r>
      <w:r w:rsidR="007033F4" w:rsidRPr="001F1B0B">
        <w:rPr>
          <w:rFonts w:ascii="Arial" w:hAnsi="Arial" w:cs="Arial"/>
          <w:sz w:val="24"/>
          <w:szCs w:val="24"/>
        </w:rPr>
        <w:t>ativa de mais baixo custo para ativação dessa</w:t>
      </w:r>
      <w:r w:rsidR="00497447" w:rsidRPr="001F1B0B">
        <w:rPr>
          <w:rFonts w:ascii="Arial" w:hAnsi="Arial" w:cs="Arial"/>
          <w:sz w:val="24"/>
          <w:szCs w:val="24"/>
        </w:rPr>
        <w:t>s</w:t>
      </w:r>
      <w:r w:rsidR="007033F4" w:rsidRPr="001F1B0B">
        <w:rPr>
          <w:rFonts w:ascii="Arial" w:hAnsi="Arial" w:cs="Arial"/>
          <w:sz w:val="24"/>
          <w:szCs w:val="24"/>
        </w:rPr>
        <w:t xml:space="preserve"> células.</w:t>
      </w:r>
      <w:r w:rsidR="0057560C" w:rsidRPr="001F1B0B">
        <w:rPr>
          <w:rFonts w:ascii="Arial" w:hAnsi="Arial" w:cs="Arial"/>
          <w:sz w:val="24"/>
          <w:szCs w:val="24"/>
        </w:rPr>
        <w:t xml:space="preserve"> Desta forma, o objetivo do presente trabalho será avaliar o metabolismo de macrófagos peritoneais de ratos quando </w:t>
      </w:r>
      <w:r w:rsidR="004B0621" w:rsidRPr="001F1B0B">
        <w:rPr>
          <w:rFonts w:ascii="Arial" w:hAnsi="Arial" w:cs="Arial"/>
          <w:sz w:val="24"/>
          <w:szCs w:val="24"/>
        </w:rPr>
        <w:t>expostos</w:t>
      </w:r>
      <w:r w:rsidR="0057560C" w:rsidRPr="001F1B0B">
        <w:rPr>
          <w:rFonts w:ascii="Arial" w:hAnsi="Arial" w:cs="Arial"/>
          <w:sz w:val="24"/>
          <w:szCs w:val="24"/>
        </w:rPr>
        <w:t xml:space="preserve"> ao extrato de </w:t>
      </w:r>
      <w:r w:rsidR="0057560C" w:rsidRPr="001F1B0B">
        <w:rPr>
          <w:rFonts w:ascii="Arial" w:hAnsi="Arial" w:cs="Arial"/>
          <w:i/>
          <w:sz w:val="24"/>
          <w:szCs w:val="24"/>
        </w:rPr>
        <w:t>Euphorbia</w:t>
      </w:r>
      <w:r w:rsidR="004B0621" w:rsidRPr="001F1B0B">
        <w:rPr>
          <w:rFonts w:ascii="Arial" w:hAnsi="Arial" w:cs="Arial"/>
          <w:i/>
          <w:sz w:val="24"/>
          <w:szCs w:val="24"/>
        </w:rPr>
        <w:t xml:space="preserve"> </w:t>
      </w:r>
      <w:r w:rsidR="0057560C" w:rsidRPr="001F1B0B">
        <w:rPr>
          <w:rFonts w:ascii="Arial" w:hAnsi="Arial" w:cs="Arial"/>
          <w:i/>
          <w:sz w:val="24"/>
          <w:szCs w:val="24"/>
        </w:rPr>
        <w:t>tirucalli L</w:t>
      </w:r>
      <w:r w:rsidR="0057560C" w:rsidRPr="001F1B0B">
        <w:rPr>
          <w:rFonts w:ascii="Arial" w:hAnsi="Arial" w:cs="Arial"/>
          <w:sz w:val="24"/>
          <w:szCs w:val="24"/>
        </w:rPr>
        <w:t>.</w:t>
      </w:r>
      <w:r w:rsidR="00F91758" w:rsidRPr="001F1B0B">
        <w:rPr>
          <w:rFonts w:ascii="Arial" w:hAnsi="Arial" w:cs="Arial"/>
          <w:sz w:val="24"/>
          <w:szCs w:val="24"/>
        </w:rPr>
        <w:t xml:space="preserve"> Para alcançar </w:t>
      </w:r>
      <w:r w:rsidR="00F1199E" w:rsidRPr="001F1B0B">
        <w:rPr>
          <w:rFonts w:ascii="Arial" w:hAnsi="Arial" w:cs="Arial"/>
          <w:sz w:val="24"/>
          <w:szCs w:val="24"/>
        </w:rPr>
        <w:t>tal</w:t>
      </w:r>
      <w:r w:rsidR="00F91758" w:rsidRPr="001F1B0B">
        <w:rPr>
          <w:rFonts w:ascii="Arial" w:hAnsi="Arial" w:cs="Arial"/>
          <w:sz w:val="24"/>
          <w:szCs w:val="24"/>
        </w:rPr>
        <w:t xml:space="preserve"> serão utilizados ratos Wistar machos adultos</w:t>
      </w:r>
      <w:r w:rsidR="0040734F" w:rsidRPr="001F1B0B">
        <w:rPr>
          <w:rFonts w:ascii="Arial" w:hAnsi="Arial" w:cs="Arial"/>
          <w:sz w:val="24"/>
          <w:szCs w:val="24"/>
        </w:rPr>
        <w:t xml:space="preserve"> para coleta dos macrófagos </w:t>
      </w:r>
      <w:r w:rsidR="00E350E6" w:rsidRPr="001F1B0B">
        <w:rPr>
          <w:rFonts w:ascii="Arial" w:hAnsi="Arial" w:cs="Arial"/>
          <w:sz w:val="24"/>
          <w:szCs w:val="24"/>
        </w:rPr>
        <w:t>residentes no lavado peritoneal. Este protocolo foi aprovado pelo</w:t>
      </w:r>
      <w:r w:rsidR="0063463F" w:rsidRPr="001F1B0B">
        <w:rPr>
          <w:rFonts w:ascii="Arial" w:hAnsi="Arial" w:cs="Arial"/>
          <w:sz w:val="24"/>
          <w:szCs w:val="24"/>
        </w:rPr>
        <w:t xml:space="preserve"> Comitê de Ética de Uso de A</w:t>
      </w:r>
      <w:r w:rsidR="00497447" w:rsidRPr="001F1B0B">
        <w:rPr>
          <w:rFonts w:ascii="Arial" w:hAnsi="Arial" w:cs="Arial"/>
          <w:sz w:val="24"/>
          <w:szCs w:val="24"/>
        </w:rPr>
        <w:t xml:space="preserve">nimais </w:t>
      </w:r>
      <w:r w:rsidR="00E350E6" w:rsidRPr="001F1B0B">
        <w:rPr>
          <w:rFonts w:ascii="Arial" w:hAnsi="Arial" w:cs="Arial"/>
          <w:sz w:val="24"/>
          <w:szCs w:val="24"/>
        </w:rPr>
        <w:t>do Complexo Pequeno Príncipe, sob registro</w:t>
      </w:r>
      <w:r w:rsidR="000B53B5" w:rsidRPr="001F1B0B">
        <w:rPr>
          <w:rFonts w:ascii="Arial" w:hAnsi="Arial" w:cs="Arial"/>
          <w:sz w:val="24"/>
          <w:szCs w:val="24"/>
        </w:rPr>
        <w:t xml:space="preserve"> de nº 026-2015.</w:t>
      </w:r>
      <w:r w:rsidR="0040734F" w:rsidRPr="001F1B0B">
        <w:rPr>
          <w:rFonts w:ascii="Arial" w:hAnsi="Arial" w:cs="Arial"/>
          <w:sz w:val="24"/>
          <w:szCs w:val="24"/>
        </w:rPr>
        <w:t xml:space="preserve"> </w:t>
      </w:r>
      <w:r w:rsidR="0063463F" w:rsidRPr="001F1B0B">
        <w:rPr>
          <w:rFonts w:ascii="Arial" w:hAnsi="Arial" w:cs="Arial"/>
          <w:sz w:val="24"/>
          <w:szCs w:val="24"/>
        </w:rPr>
        <w:t>Posteriormente, s</w:t>
      </w:r>
      <w:r w:rsidR="0040734F" w:rsidRPr="001F1B0B">
        <w:rPr>
          <w:rFonts w:ascii="Arial" w:hAnsi="Arial" w:cs="Arial"/>
          <w:sz w:val="24"/>
          <w:szCs w:val="24"/>
        </w:rPr>
        <w:t xml:space="preserve">erão realizados estudos </w:t>
      </w:r>
      <w:r w:rsidR="0040734F" w:rsidRPr="001F1B0B">
        <w:rPr>
          <w:rFonts w:ascii="Arial" w:hAnsi="Arial" w:cs="Arial"/>
          <w:i/>
          <w:sz w:val="24"/>
          <w:szCs w:val="24"/>
        </w:rPr>
        <w:t>in vitro</w:t>
      </w:r>
      <w:r w:rsidR="0040734F" w:rsidRPr="001F1B0B">
        <w:rPr>
          <w:rFonts w:ascii="Arial" w:hAnsi="Arial" w:cs="Arial"/>
          <w:sz w:val="24"/>
          <w:szCs w:val="24"/>
        </w:rPr>
        <w:t xml:space="preserve"> para avaliação da atividade dos macrófagos em relação às funções </w:t>
      </w:r>
      <w:r w:rsidR="0040734F" w:rsidRPr="001F1B0B">
        <w:rPr>
          <w:rFonts w:ascii="Arial" w:hAnsi="Arial" w:cs="Arial"/>
          <w:sz w:val="24"/>
          <w:szCs w:val="24"/>
        </w:rPr>
        <w:lastRenderedPageBreak/>
        <w:t xml:space="preserve">de fagocitose, retenção de vesículas fagolisocíticas, </w:t>
      </w:r>
      <w:r w:rsidR="0063463F" w:rsidRPr="001F1B0B">
        <w:rPr>
          <w:rFonts w:ascii="Arial" w:hAnsi="Arial" w:cs="Arial"/>
          <w:sz w:val="24"/>
          <w:szCs w:val="24"/>
        </w:rPr>
        <w:t xml:space="preserve">capacidade de adesão, </w:t>
      </w:r>
      <w:r w:rsidR="0040734F" w:rsidRPr="001F1B0B">
        <w:rPr>
          <w:rFonts w:ascii="Arial" w:hAnsi="Arial" w:cs="Arial"/>
          <w:sz w:val="24"/>
          <w:szCs w:val="24"/>
        </w:rPr>
        <w:t>produção de peróxido de hidrogênio e ânion sup</w:t>
      </w:r>
      <w:r w:rsidR="0063463F" w:rsidRPr="001F1B0B">
        <w:rPr>
          <w:rFonts w:ascii="Arial" w:hAnsi="Arial" w:cs="Arial"/>
          <w:sz w:val="24"/>
          <w:szCs w:val="24"/>
        </w:rPr>
        <w:t>eróxido</w:t>
      </w:r>
      <w:r w:rsidR="000B53B5" w:rsidRPr="001F1B0B">
        <w:rPr>
          <w:rFonts w:ascii="Arial" w:hAnsi="Arial" w:cs="Arial"/>
          <w:sz w:val="24"/>
          <w:szCs w:val="24"/>
        </w:rPr>
        <w:t>. Para tais ensaios, os macrófagos serão expostos ao extrato de</w:t>
      </w:r>
      <w:r w:rsidR="0040734F" w:rsidRPr="001F1B0B">
        <w:rPr>
          <w:rFonts w:ascii="Arial" w:hAnsi="Arial" w:cs="Arial"/>
          <w:sz w:val="24"/>
          <w:szCs w:val="24"/>
        </w:rPr>
        <w:t xml:space="preserve"> </w:t>
      </w:r>
      <w:r w:rsidR="0040734F" w:rsidRPr="001F1B0B">
        <w:rPr>
          <w:rFonts w:ascii="Arial" w:hAnsi="Arial" w:cs="Arial"/>
          <w:i/>
          <w:sz w:val="24"/>
          <w:szCs w:val="24"/>
        </w:rPr>
        <w:t>Euphorbia tirucalli L.</w:t>
      </w:r>
      <w:r w:rsidR="0040734F" w:rsidRPr="001F1B0B">
        <w:rPr>
          <w:rFonts w:ascii="Arial" w:hAnsi="Arial" w:cs="Arial"/>
          <w:sz w:val="24"/>
          <w:szCs w:val="24"/>
        </w:rPr>
        <w:t xml:space="preserve"> </w:t>
      </w:r>
      <w:r w:rsidR="000B53B5" w:rsidRPr="001F1B0B">
        <w:rPr>
          <w:rFonts w:ascii="Arial" w:hAnsi="Arial" w:cs="Arial"/>
          <w:sz w:val="24"/>
          <w:szCs w:val="24"/>
        </w:rPr>
        <w:t>e divididos nos seguintes grupos experimentais: controle (C),</w:t>
      </w:r>
      <w:r w:rsidR="00E350E6" w:rsidRPr="001F1B0B">
        <w:rPr>
          <w:rFonts w:ascii="Arial" w:hAnsi="Arial" w:cs="Arial"/>
          <w:sz w:val="24"/>
          <w:szCs w:val="24"/>
        </w:rPr>
        <w:t xml:space="preserve"> </w:t>
      </w:r>
      <w:r w:rsidR="0063463F" w:rsidRPr="001F1B0B">
        <w:rPr>
          <w:rFonts w:ascii="Arial" w:hAnsi="Arial" w:cs="Arial"/>
          <w:sz w:val="24"/>
          <w:szCs w:val="24"/>
        </w:rPr>
        <w:t xml:space="preserve">PMA e </w:t>
      </w:r>
      <w:r w:rsidR="000B53B5" w:rsidRPr="001F1B0B">
        <w:rPr>
          <w:rFonts w:ascii="Arial" w:hAnsi="Arial" w:cs="Arial"/>
          <w:sz w:val="24"/>
          <w:szCs w:val="24"/>
        </w:rPr>
        <w:t xml:space="preserve">extrato de </w:t>
      </w:r>
      <w:r w:rsidR="000B53B5" w:rsidRPr="001F1B0B">
        <w:rPr>
          <w:rFonts w:ascii="Arial" w:hAnsi="Arial" w:cs="Arial"/>
          <w:i/>
          <w:sz w:val="24"/>
          <w:szCs w:val="24"/>
        </w:rPr>
        <w:t>Euphorbia tirucalli L.</w:t>
      </w:r>
      <w:r w:rsidR="0063463F" w:rsidRPr="001F1B0B">
        <w:rPr>
          <w:rFonts w:ascii="Arial" w:hAnsi="Arial" w:cs="Arial"/>
          <w:i/>
          <w:sz w:val="24"/>
          <w:szCs w:val="24"/>
        </w:rPr>
        <w:t xml:space="preserve"> </w:t>
      </w:r>
      <w:r w:rsidR="0063463F" w:rsidRPr="001F1B0B">
        <w:rPr>
          <w:rFonts w:ascii="Arial" w:hAnsi="Arial" w:cs="Arial"/>
          <w:sz w:val="24"/>
          <w:szCs w:val="24"/>
        </w:rPr>
        <w:t xml:space="preserve">nas diluições de </w:t>
      </w:r>
      <w:r w:rsidR="000B53B5" w:rsidRPr="001F1B0B">
        <w:rPr>
          <w:rFonts w:ascii="Arial" w:hAnsi="Arial" w:cs="Arial"/>
          <w:sz w:val="24"/>
          <w:szCs w:val="24"/>
        </w:rPr>
        <w:t>1:5000, 1:3</w:t>
      </w:r>
      <w:r w:rsidR="0063463F" w:rsidRPr="001F1B0B">
        <w:rPr>
          <w:rFonts w:ascii="Arial" w:hAnsi="Arial" w:cs="Arial"/>
          <w:sz w:val="24"/>
          <w:szCs w:val="24"/>
        </w:rPr>
        <w:t>000, 1:1000, 1:500, 1:100 e 1:50</w:t>
      </w:r>
      <w:r w:rsidR="000B53B5" w:rsidRPr="001F1B0B">
        <w:rPr>
          <w:rFonts w:ascii="Arial" w:hAnsi="Arial" w:cs="Arial"/>
          <w:sz w:val="24"/>
          <w:szCs w:val="24"/>
        </w:rPr>
        <w:t xml:space="preserve">. </w:t>
      </w:r>
      <w:r w:rsidR="0040734F" w:rsidRPr="001F1B0B">
        <w:rPr>
          <w:rFonts w:ascii="Arial" w:hAnsi="Arial" w:cs="Arial"/>
          <w:sz w:val="24"/>
          <w:szCs w:val="24"/>
          <w:shd w:val="clear" w:color="auto" w:fill="FFFFFF"/>
        </w:rPr>
        <w:t>Os dados serão apresentados como média ± erro padrão da média e serão submetidos à análise de variâ</w:t>
      </w:r>
      <w:r w:rsidR="0063463F" w:rsidRPr="001F1B0B">
        <w:rPr>
          <w:rFonts w:ascii="Arial" w:hAnsi="Arial" w:cs="Arial"/>
          <w:sz w:val="24"/>
          <w:szCs w:val="24"/>
          <w:shd w:val="clear" w:color="auto" w:fill="FFFFFF"/>
        </w:rPr>
        <w:t>ncia de uma via (ANOVA) com pós-</w:t>
      </w:r>
      <w:r w:rsidR="0040734F" w:rsidRPr="001F1B0B">
        <w:rPr>
          <w:rFonts w:ascii="Arial" w:hAnsi="Arial" w:cs="Arial"/>
          <w:sz w:val="24"/>
          <w:szCs w:val="24"/>
          <w:shd w:val="clear" w:color="auto" w:fill="FFFFFF"/>
        </w:rPr>
        <w:t>teste de Tukey com significância para p &lt; 0,05. As análises e os gráficos serão realizados com o auxílio do software GraphPad Prism (GraphPad Prism versão 5.0 para Windows, GraphPad Software, San Diego California EUA)</w:t>
      </w:r>
      <w:r w:rsidR="0063463F" w:rsidRPr="001F1B0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3463F" w:rsidRPr="001F1B0B" w:rsidRDefault="006767CE">
      <w:pPr>
        <w:pStyle w:val="Standard"/>
        <w:spacing w:before="3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F1B0B">
        <w:rPr>
          <w:rFonts w:ascii="Arial" w:hAnsi="Arial" w:cs="Arial"/>
          <w:b/>
          <w:sz w:val="24"/>
          <w:szCs w:val="24"/>
        </w:rPr>
        <w:t xml:space="preserve">Palavras- chave: </w:t>
      </w:r>
      <w:r w:rsidR="00C809E0" w:rsidRPr="001F1B0B">
        <w:rPr>
          <w:rFonts w:ascii="Arial" w:hAnsi="Arial" w:cs="Arial"/>
          <w:b/>
          <w:sz w:val="24"/>
          <w:szCs w:val="24"/>
        </w:rPr>
        <w:t>Macrófago</w:t>
      </w:r>
      <w:r w:rsidR="0094524E" w:rsidRPr="001F1B0B">
        <w:rPr>
          <w:rFonts w:ascii="Arial" w:hAnsi="Arial" w:cs="Arial"/>
          <w:b/>
          <w:sz w:val="24"/>
          <w:szCs w:val="24"/>
        </w:rPr>
        <w:t xml:space="preserve">, </w:t>
      </w:r>
      <w:r w:rsidR="0094524E" w:rsidRPr="001F1B0B">
        <w:rPr>
          <w:rFonts w:ascii="Arial" w:eastAsia="Times New Roman" w:hAnsi="Arial" w:cs="Arial"/>
          <w:b/>
          <w:i/>
          <w:sz w:val="24"/>
          <w:szCs w:val="24"/>
          <w:lang w:eastAsia="pt-BR"/>
        </w:rPr>
        <w:t>Euphorbia</w:t>
      </w:r>
      <w:r w:rsidR="004B0621" w:rsidRPr="001F1B0B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 </w:t>
      </w:r>
      <w:r w:rsidR="0094524E" w:rsidRPr="001F1B0B">
        <w:rPr>
          <w:rFonts w:ascii="Arial" w:eastAsia="Times New Roman" w:hAnsi="Arial" w:cs="Arial"/>
          <w:b/>
          <w:i/>
          <w:sz w:val="24"/>
          <w:szCs w:val="24"/>
          <w:lang w:eastAsia="pt-BR"/>
        </w:rPr>
        <w:t>tirucalli L</w:t>
      </w:r>
      <w:r w:rsidR="0094524E" w:rsidRPr="001F1B0B">
        <w:rPr>
          <w:rFonts w:ascii="Arial" w:eastAsia="Times New Roman" w:hAnsi="Arial" w:cs="Arial"/>
          <w:b/>
          <w:sz w:val="24"/>
          <w:szCs w:val="24"/>
          <w:lang w:eastAsia="pt-BR"/>
        </w:rPr>
        <w:t>., fagocitose, reativos oxigênio.</w:t>
      </w:r>
    </w:p>
    <w:p w:rsidR="00F91758" w:rsidRPr="001F1B0B" w:rsidRDefault="00F91758">
      <w:pPr>
        <w:pStyle w:val="Standard"/>
        <w:spacing w:before="30" w:line="360" w:lineRule="auto"/>
        <w:jc w:val="both"/>
      </w:pPr>
      <w:r w:rsidRPr="001F1B0B">
        <w:rPr>
          <w:rFonts w:ascii="Arial" w:eastAsia="Times New Roman" w:hAnsi="Arial" w:cs="Arial"/>
          <w:sz w:val="24"/>
          <w:szCs w:val="24"/>
          <w:lang w:eastAsia="pt-BR"/>
        </w:rPr>
        <w:t>Suporte financeiro: CAPES, Fundação Araucária e Universidade Federal do Paraná.</w:t>
      </w:r>
    </w:p>
    <w:p w:rsidR="004B0621" w:rsidRPr="001F1B0B" w:rsidRDefault="004B0621" w:rsidP="0063463F">
      <w:p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63F" w:rsidRPr="001F1B0B" w:rsidRDefault="0063463F" w:rsidP="0063463F">
      <w:p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1B0B">
        <w:rPr>
          <w:rFonts w:ascii="Arial" w:hAnsi="Arial" w:cs="Arial"/>
          <w:b/>
          <w:sz w:val="24"/>
          <w:szCs w:val="24"/>
        </w:rPr>
        <w:t>REFERÊNCIAS</w:t>
      </w:r>
    </w:p>
    <w:p w:rsidR="0063463F" w:rsidRPr="001F1B0B" w:rsidRDefault="0063463F" w:rsidP="0063463F">
      <w:pPr>
        <w:pStyle w:val="SemEspaamento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1F1B0B">
        <w:rPr>
          <w:rFonts w:ascii="Arial" w:hAnsi="Arial" w:cs="Arial"/>
          <w:noProof/>
          <w:sz w:val="24"/>
          <w:szCs w:val="24"/>
        </w:rPr>
        <w:t xml:space="preserve">MURPHY, K. ; TRAVERS, P. ; WALPORT, M. : </w:t>
      </w:r>
      <w:r w:rsidRPr="001F1B0B">
        <w:rPr>
          <w:rFonts w:ascii="Arial" w:hAnsi="Arial" w:cs="Arial"/>
          <w:i/>
          <w:noProof/>
          <w:sz w:val="24"/>
          <w:szCs w:val="24"/>
        </w:rPr>
        <w:t xml:space="preserve">Imunobiologia de Janeway, </w:t>
      </w:r>
      <w:r w:rsidRPr="001F1B0B">
        <w:rPr>
          <w:rFonts w:ascii="Arial" w:hAnsi="Arial" w:cs="Arial"/>
          <w:noProof/>
          <w:sz w:val="24"/>
          <w:szCs w:val="24"/>
        </w:rPr>
        <w:t xml:space="preserve">7ª edição, Editora Artmed, 2010. </w:t>
      </w:r>
    </w:p>
    <w:p w:rsidR="0063463F" w:rsidRPr="001F1B0B" w:rsidRDefault="0063463F" w:rsidP="0063463F">
      <w:pPr>
        <w:pStyle w:val="SemEspaamento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63463F" w:rsidRPr="001F1B0B" w:rsidRDefault="0063463F" w:rsidP="0063463F">
      <w:pPr>
        <w:pStyle w:val="SemEspaamento"/>
        <w:spacing w:line="36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 w:rsidRPr="001F1B0B">
        <w:rPr>
          <w:rFonts w:ascii="Arial" w:hAnsi="Arial" w:cs="Arial"/>
          <w:noProof/>
          <w:sz w:val="24"/>
          <w:szCs w:val="24"/>
          <w:lang w:val="en-US"/>
        </w:rPr>
        <w:t xml:space="preserve">AKIRA, S. ; UEMATSU, S. ; TAKEUCHI, U. : </w:t>
      </w:r>
      <w:r w:rsidRPr="001F1B0B">
        <w:rPr>
          <w:rFonts w:ascii="Arial" w:eastAsia="Arial Unicode MS" w:hAnsi="Arial" w:cs="Arial"/>
          <w:i/>
          <w:sz w:val="24"/>
          <w:szCs w:val="24"/>
          <w:lang w:val="en-US"/>
        </w:rPr>
        <w:t>Pathogen</w:t>
      </w:r>
      <w:r w:rsidRPr="001F1B0B"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r w:rsidRPr="001F1B0B">
        <w:rPr>
          <w:rFonts w:ascii="Arial" w:eastAsia="Arial Unicode MS" w:hAnsi="Arial" w:cs="Arial"/>
          <w:i/>
          <w:sz w:val="24"/>
          <w:szCs w:val="24"/>
          <w:lang w:val="en-US"/>
        </w:rPr>
        <w:t xml:space="preserve">Recognition and Innate Immunity, </w:t>
      </w:r>
      <w:r w:rsidRPr="001F1B0B">
        <w:rPr>
          <w:rFonts w:ascii="Arial" w:eastAsia="Arial Unicode MS" w:hAnsi="Arial" w:cs="Arial"/>
          <w:sz w:val="24"/>
          <w:szCs w:val="24"/>
          <w:lang w:val="en-US"/>
        </w:rPr>
        <w:t>2006, dis</w:t>
      </w:r>
      <w:r w:rsidRPr="001F1B0B">
        <w:rPr>
          <w:rFonts w:ascii="Arial" w:hAnsi="Arial" w:cs="Arial"/>
          <w:noProof/>
          <w:sz w:val="24"/>
          <w:szCs w:val="24"/>
          <w:lang w:val="en-US"/>
        </w:rPr>
        <w:t>ponível em &lt;http://www.sciencedirect.com/science/article/pii/S0092867406001905&gt;</w:t>
      </w:r>
    </w:p>
    <w:p w:rsidR="0063463F" w:rsidRPr="001F1B0B" w:rsidRDefault="0063463F" w:rsidP="0063463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_ENREF_4"/>
    </w:p>
    <w:p w:rsidR="0063463F" w:rsidRPr="001F1B0B" w:rsidRDefault="0063463F" w:rsidP="0063463F">
      <w:pPr>
        <w:pStyle w:val="SemEspaamento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1F1B0B">
        <w:rPr>
          <w:rFonts w:ascii="Arial" w:hAnsi="Arial" w:cs="Arial"/>
          <w:sz w:val="24"/>
          <w:szCs w:val="24"/>
        </w:rPr>
        <w:t>ABBAS, A. ; LICHTMANN, A.; PILLAI, S</w:t>
      </w:r>
      <w:r w:rsidRPr="001F1B0B">
        <w:rPr>
          <w:rFonts w:ascii="Arial" w:hAnsi="Arial" w:cs="Arial"/>
          <w:noProof/>
          <w:sz w:val="24"/>
          <w:szCs w:val="24"/>
        </w:rPr>
        <w:t>.</w:t>
      </w:r>
      <w:bookmarkEnd w:id="1"/>
      <w:r w:rsidRPr="001F1B0B">
        <w:rPr>
          <w:rFonts w:ascii="Arial" w:hAnsi="Arial" w:cs="Arial"/>
          <w:noProof/>
          <w:sz w:val="24"/>
          <w:szCs w:val="24"/>
        </w:rPr>
        <w:t xml:space="preserve"> : </w:t>
      </w:r>
      <w:r w:rsidRPr="001F1B0B">
        <w:rPr>
          <w:rFonts w:ascii="Arial" w:hAnsi="Arial" w:cs="Arial"/>
          <w:i/>
          <w:noProof/>
          <w:sz w:val="24"/>
          <w:szCs w:val="24"/>
        </w:rPr>
        <w:t>Imunologia celular e molecular</w:t>
      </w:r>
      <w:r w:rsidRPr="001F1B0B">
        <w:rPr>
          <w:rFonts w:ascii="Arial" w:hAnsi="Arial" w:cs="Arial"/>
          <w:noProof/>
          <w:sz w:val="24"/>
          <w:szCs w:val="24"/>
        </w:rPr>
        <w:t xml:space="preserve">, 6ª edição, </w:t>
      </w:r>
      <w:r w:rsidRPr="001F1B0B">
        <w:rPr>
          <w:rFonts w:ascii="Arial" w:hAnsi="Arial" w:cs="Arial"/>
          <w:sz w:val="24"/>
          <w:szCs w:val="24"/>
        </w:rPr>
        <w:t>editora Elsevier, 2008.</w:t>
      </w:r>
    </w:p>
    <w:p w:rsidR="0063463F" w:rsidRPr="001F1B0B" w:rsidRDefault="0063463F" w:rsidP="0063463F">
      <w:pPr>
        <w:pStyle w:val="SemEspaamento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63463F" w:rsidRPr="001F1B0B" w:rsidRDefault="0063463F" w:rsidP="0063463F">
      <w:pPr>
        <w:pStyle w:val="SemEspaamento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1F1B0B">
        <w:rPr>
          <w:rFonts w:ascii="Arial" w:hAnsi="Arial" w:cs="Arial"/>
          <w:noProof/>
          <w:sz w:val="24"/>
          <w:szCs w:val="24"/>
        </w:rPr>
        <w:t xml:space="preserve">TOFFANELLI, E. J. ; SILVA, F. A. : </w:t>
      </w:r>
      <w:r w:rsidRPr="001F1B0B">
        <w:rPr>
          <w:rFonts w:ascii="Arial" w:hAnsi="Arial" w:cs="Arial"/>
          <w:i/>
          <w:sz w:val="24"/>
          <w:szCs w:val="24"/>
        </w:rPr>
        <w:t xml:space="preserve">Propriedades fitoterápicas de </w:t>
      </w:r>
      <w:r w:rsidRPr="001F1B0B">
        <w:rPr>
          <w:rFonts w:ascii="Arial" w:hAnsi="Arial" w:cs="Arial"/>
          <w:i/>
          <w:sz w:val="24"/>
          <w:szCs w:val="24"/>
          <w:u w:val="single"/>
        </w:rPr>
        <w:t>Euphorbia tirucalli L.</w:t>
      </w:r>
      <w:r w:rsidRPr="001F1B0B">
        <w:rPr>
          <w:rFonts w:ascii="Arial" w:hAnsi="Arial" w:cs="Arial"/>
          <w:i/>
          <w:sz w:val="24"/>
          <w:szCs w:val="24"/>
        </w:rPr>
        <w:t>: da etnobotânica a farmacognosia</w:t>
      </w:r>
      <w:r w:rsidRPr="001F1B0B">
        <w:rPr>
          <w:rFonts w:ascii="Arial" w:hAnsi="Arial" w:cs="Arial"/>
          <w:sz w:val="24"/>
          <w:szCs w:val="24"/>
        </w:rPr>
        <w:t>, Revista Biologia e Farmácia, 2011, dis</w:t>
      </w:r>
      <w:r w:rsidRPr="001F1B0B">
        <w:rPr>
          <w:rFonts w:ascii="Arial" w:hAnsi="Arial" w:cs="Arial"/>
          <w:noProof/>
          <w:sz w:val="24"/>
          <w:szCs w:val="24"/>
        </w:rPr>
        <w:t>ponível em &lt;http://sites.uepb.edu.br/biofar/download/v6n1-011/propriedades_fitoter%C3% A1</w:t>
      </w:r>
    </w:p>
    <w:p w:rsidR="0063463F" w:rsidRPr="001F1B0B" w:rsidRDefault="0063463F" w:rsidP="0063463F">
      <w:pPr>
        <w:pStyle w:val="SemEspaamento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1F1B0B">
        <w:rPr>
          <w:rFonts w:ascii="Arial" w:hAnsi="Arial" w:cs="Arial"/>
          <w:noProof/>
          <w:sz w:val="24"/>
          <w:szCs w:val="24"/>
        </w:rPr>
        <w:t>picas_de_euphorbia_tirucalli_l_da_etnobot%C3%A2nica_a_farmacognosia.pdf&gt;</w:t>
      </w:r>
    </w:p>
    <w:p w:rsidR="0063463F" w:rsidRPr="001F1B0B" w:rsidRDefault="0063463F" w:rsidP="0063463F">
      <w:p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3463F" w:rsidRPr="001F1B0B" w:rsidSect="00CB4F3C">
      <w:pgSz w:w="11906" w:h="16838"/>
      <w:pgMar w:top="1701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97" w:rsidRDefault="004A5697" w:rsidP="00CB4F3C">
      <w:pPr>
        <w:spacing w:after="0" w:line="240" w:lineRule="auto"/>
      </w:pPr>
      <w:r>
        <w:separator/>
      </w:r>
    </w:p>
  </w:endnote>
  <w:endnote w:type="continuationSeparator" w:id="0">
    <w:p w:rsidR="004A5697" w:rsidRDefault="004A5697" w:rsidP="00C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97" w:rsidRDefault="004A5697" w:rsidP="00CB4F3C">
      <w:pPr>
        <w:spacing w:after="0" w:line="240" w:lineRule="auto"/>
      </w:pPr>
      <w:r w:rsidRPr="00CB4F3C">
        <w:rPr>
          <w:color w:val="000000"/>
        </w:rPr>
        <w:separator/>
      </w:r>
    </w:p>
  </w:footnote>
  <w:footnote w:type="continuationSeparator" w:id="0">
    <w:p w:rsidR="004A5697" w:rsidRDefault="004A5697" w:rsidP="00CB4F3C">
      <w:pPr>
        <w:spacing w:after="0" w:line="240" w:lineRule="auto"/>
      </w:pPr>
      <w:r>
        <w:continuationSeparator/>
      </w:r>
    </w:p>
  </w:footnote>
  <w:footnote w:id="1">
    <w:p w:rsidR="00CB4F3C" w:rsidRPr="000C67B2" w:rsidRDefault="006767CE">
      <w:pPr>
        <w:pStyle w:val="Textodenotaderodap"/>
      </w:pPr>
      <w:r w:rsidRPr="00CB4F3C">
        <w:rPr>
          <w:rStyle w:val="Refdenotaderodap"/>
        </w:rPr>
        <w:footnoteRef/>
      </w:r>
      <w:r w:rsidR="007033F4">
        <w:t xml:space="preserve"> Aluna</w:t>
      </w:r>
      <w:r>
        <w:t xml:space="preserve"> do </w:t>
      </w:r>
      <w:r w:rsidR="007033F4">
        <w:t>6º</w:t>
      </w:r>
      <w:r w:rsidR="002949C8">
        <w:t xml:space="preserve"> p</w:t>
      </w:r>
      <w:r>
        <w:t xml:space="preserve">eríodo do Curso de Biomedicina </w:t>
      </w:r>
      <w:r w:rsidR="002949C8">
        <w:t>da</w:t>
      </w:r>
      <w:r w:rsidR="00924383">
        <w:t>s</w:t>
      </w:r>
      <w:r w:rsidR="002949C8">
        <w:t xml:space="preserve"> Faculdades Pequeno Príncipe</w:t>
      </w:r>
      <w:r w:rsidR="002949C8" w:rsidRPr="000C67B2">
        <w:t xml:space="preserve">; </w:t>
      </w:r>
      <w:r w:rsidR="00FF65D6" w:rsidRPr="000C67B2">
        <w:t>Aluna de Iniciação científica</w:t>
      </w:r>
      <w:r w:rsidR="007033F4">
        <w:t xml:space="preserve"> </w:t>
      </w:r>
      <w:r w:rsidR="007033F4" w:rsidRPr="000C67B2">
        <w:t>PIBIC-FA</w:t>
      </w:r>
      <w:r w:rsidR="007033F4">
        <w:t xml:space="preserve"> do Instituto de Pesquisa Pelé Pequeno Príncipe</w:t>
      </w:r>
      <w:r w:rsidR="00FF65D6" w:rsidRPr="000C67B2">
        <w:t>; suzany_hellen@hotmail.com</w:t>
      </w:r>
    </w:p>
  </w:footnote>
  <w:footnote w:id="2">
    <w:p w:rsidR="00924383" w:rsidRPr="00FF65D6" w:rsidRDefault="00924383" w:rsidP="00924383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vertAlign w:val="superscript"/>
        </w:rPr>
        <w:t>2</w:t>
      </w:r>
      <w:r w:rsidRPr="00FF65D6">
        <w:rPr>
          <w:rFonts w:asciiTheme="minorHAnsi" w:hAnsiTheme="minorHAnsi"/>
        </w:rPr>
        <w:t xml:space="preserve">Co-orientadora, </w:t>
      </w:r>
      <w:r w:rsidRPr="00FF65D6">
        <w:rPr>
          <w:rFonts w:cs="Arial"/>
        </w:rPr>
        <w:t>Nutricionista, Mestre em Fisiologia e Doutoranda em Biotecnologia aplicada à saúde da criança e do adolescente-FPP/IPPPP</w:t>
      </w:r>
      <w:r>
        <w:rPr>
          <w:rFonts w:asciiTheme="minorHAnsi" w:hAnsiTheme="minorHAnsi" w:cs="Arial"/>
        </w:rPr>
        <w:t xml:space="preserve">; </w:t>
      </w:r>
      <w:r w:rsidRPr="00DA5A1E">
        <w:rPr>
          <w:rFonts w:asciiTheme="minorHAnsi" w:hAnsiTheme="minorHAnsi" w:cs="Arial"/>
        </w:rPr>
        <w:t>yamaguchi.dri@gmail.com</w:t>
      </w:r>
    </w:p>
    <w:p w:rsidR="00CF4D30" w:rsidRDefault="00924383" w:rsidP="00CF4D30">
      <w:pPr>
        <w:pStyle w:val="Textodenotaderodap"/>
      </w:pPr>
      <w:r>
        <w:rPr>
          <w:vertAlign w:val="superscript"/>
        </w:rPr>
        <w:t>3</w:t>
      </w:r>
      <w:r w:rsidR="00CF4D30" w:rsidRPr="000C67B2">
        <w:rPr>
          <w:rFonts w:asciiTheme="minorHAnsi" w:hAnsiTheme="minorHAnsi"/>
        </w:rPr>
        <w:t xml:space="preserve">Orientador, </w:t>
      </w:r>
      <w:r w:rsidR="00CF4D30" w:rsidRPr="000C67B2">
        <w:rPr>
          <w:rFonts w:cs="Arial"/>
        </w:rPr>
        <w:t>Biólog</w:t>
      </w:r>
      <w:r>
        <w:rPr>
          <w:rFonts w:cs="Arial"/>
        </w:rPr>
        <w:t>o, Mestre e Doutor em Biologia Celular e M</w:t>
      </w:r>
      <w:r w:rsidR="00CF4D30" w:rsidRPr="000C67B2">
        <w:rPr>
          <w:rFonts w:cs="Arial"/>
        </w:rPr>
        <w:t>olecular; Pesquisador no Instituto de Pesquisa</w:t>
      </w:r>
      <w:r w:rsidR="007033F4">
        <w:rPr>
          <w:rFonts w:cs="Arial"/>
        </w:rPr>
        <w:t xml:space="preserve"> Pelé Pequeno Príncipe</w:t>
      </w:r>
      <w:r w:rsidR="00CF4D30">
        <w:rPr>
          <w:rFonts w:asciiTheme="minorHAnsi" w:hAnsiTheme="minorHAnsi"/>
        </w:rPr>
        <w:t xml:space="preserve">; </w:t>
      </w:r>
      <w:hyperlink r:id="rId1" w:history="1">
        <w:r w:rsidR="00CF4D30" w:rsidRPr="00FF65D6">
          <w:rPr>
            <w:rStyle w:val="Hyperlink"/>
            <w:rFonts w:cs="Arial"/>
            <w:color w:val="auto"/>
            <w:u w:val="none"/>
            <w:shd w:val="clear" w:color="auto" w:fill="FFFFFF"/>
          </w:rPr>
          <w:t>sandrobonatto@hotmail.com</w:t>
        </w:r>
      </w:hyperlink>
    </w:p>
    <w:p w:rsidR="00CF4D30" w:rsidRPr="002949C8" w:rsidRDefault="00CF4D30" w:rsidP="00CF4D30">
      <w:pPr>
        <w:pStyle w:val="Textodenotaderodap"/>
      </w:pPr>
    </w:p>
  </w:footnote>
  <w:footnote w:id="3">
    <w:p w:rsidR="00CF4D30" w:rsidRDefault="00CF4D30" w:rsidP="00CF4D30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3198"/>
    <w:multiLevelType w:val="hybridMultilevel"/>
    <w:tmpl w:val="9446D672"/>
    <w:lvl w:ilvl="0" w:tplc="62921A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46FE8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E0B4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DC56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9A84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DED2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4039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9CC5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D656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C534EE7"/>
    <w:multiLevelType w:val="multilevel"/>
    <w:tmpl w:val="52E4781E"/>
    <w:lvl w:ilvl="0">
      <w:numFmt w:val="bullet"/>
      <w:lvlText w:val=""/>
      <w:lvlJc w:val="left"/>
      <w:pPr>
        <w:ind w:left="1425" w:hanging="360"/>
      </w:pPr>
      <w:rPr>
        <w:rFonts w:ascii="Wingdings" w:hAnsi="Wingdings"/>
        <w:color w:val="FF0000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2">
    <w:nsid w:val="732F357D"/>
    <w:multiLevelType w:val="hybridMultilevel"/>
    <w:tmpl w:val="5838D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13DBD"/>
    <w:multiLevelType w:val="multilevel"/>
    <w:tmpl w:val="86B8ACDA"/>
    <w:styleLink w:val="WWNum1"/>
    <w:lvl w:ilvl="0">
      <w:numFmt w:val="bullet"/>
      <w:lvlText w:val=""/>
      <w:lvlJc w:val="left"/>
    </w:lvl>
    <w:lvl w:ilvl="1">
      <w:numFmt w:val="bullet"/>
      <w:lvlText w:val="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"/>
      <w:lvlJc w:val="left"/>
    </w:lvl>
    <w:lvl w:ilvl="5">
      <w:numFmt w:val="bullet"/>
      <w:lvlText w:val=""/>
      <w:lvlJc w:val="left"/>
    </w:lvl>
    <w:lvl w:ilvl="6">
      <w:numFmt w:val="bullet"/>
      <w:lvlText w:val=""/>
      <w:lvlJc w:val="left"/>
    </w:lvl>
    <w:lvl w:ilvl="7">
      <w:numFmt w:val="bullet"/>
      <w:lvlText w:val=""/>
      <w:lvlJc w:val="left"/>
    </w:lvl>
    <w:lvl w:ilvl="8">
      <w:numFmt w:val="bullet"/>
      <w:lvlText w:val="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3C"/>
    <w:rsid w:val="00071BEC"/>
    <w:rsid w:val="00072C96"/>
    <w:rsid w:val="00075E24"/>
    <w:rsid w:val="000A3915"/>
    <w:rsid w:val="000B53B5"/>
    <w:rsid w:val="000C67B2"/>
    <w:rsid w:val="00157467"/>
    <w:rsid w:val="00182351"/>
    <w:rsid w:val="00196E43"/>
    <w:rsid w:val="001A5A3A"/>
    <w:rsid w:val="001D1BEE"/>
    <w:rsid w:val="001E61EE"/>
    <w:rsid w:val="001F1B0B"/>
    <w:rsid w:val="001F2FE1"/>
    <w:rsid w:val="002868F5"/>
    <w:rsid w:val="002949C8"/>
    <w:rsid w:val="002C4430"/>
    <w:rsid w:val="00366C5C"/>
    <w:rsid w:val="0040734F"/>
    <w:rsid w:val="004161B2"/>
    <w:rsid w:val="004332ED"/>
    <w:rsid w:val="00442E00"/>
    <w:rsid w:val="00447577"/>
    <w:rsid w:val="00451FFB"/>
    <w:rsid w:val="00497447"/>
    <w:rsid w:val="004A5697"/>
    <w:rsid w:val="004B0621"/>
    <w:rsid w:val="0057560C"/>
    <w:rsid w:val="00585883"/>
    <w:rsid w:val="005A0C23"/>
    <w:rsid w:val="0063463F"/>
    <w:rsid w:val="00676668"/>
    <w:rsid w:val="006767CE"/>
    <w:rsid w:val="006A0C2F"/>
    <w:rsid w:val="006C36EF"/>
    <w:rsid w:val="007033F4"/>
    <w:rsid w:val="007A5C67"/>
    <w:rsid w:val="008267A6"/>
    <w:rsid w:val="00845A8F"/>
    <w:rsid w:val="00863B1E"/>
    <w:rsid w:val="008E539F"/>
    <w:rsid w:val="00900CD9"/>
    <w:rsid w:val="00924383"/>
    <w:rsid w:val="00943170"/>
    <w:rsid w:val="0094524E"/>
    <w:rsid w:val="00991FD2"/>
    <w:rsid w:val="009F6E1B"/>
    <w:rsid w:val="00A13C0D"/>
    <w:rsid w:val="00A34F97"/>
    <w:rsid w:val="00A3650B"/>
    <w:rsid w:val="00A37AC5"/>
    <w:rsid w:val="00A52F94"/>
    <w:rsid w:val="00AB0562"/>
    <w:rsid w:val="00B904AF"/>
    <w:rsid w:val="00BD4EE7"/>
    <w:rsid w:val="00BE2E0B"/>
    <w:rsid w:val="00C02582"/>
    <w:rsid w:val="00C809E0"/>
    <w:rsid w:val="00CB4F3C"/>
    <w:rsid w:val="00CD17D8"/>
    <w:rsid w:val="00CF4CE0"/>
    <w:rsid w:val="00CF4D30"/>
    <w:rsid w:val="00DA5A1E"/>
    <w:rsid w:val="00DE1E61"/>
    <w:rsid w:val="00E1078D"/>
    <w:rsid w:val="00E350E6"/>
    <w:rsid w:val="00EB54F5"/>
    <w:rsid w:val="00EE3396"/>
    <w:rsid w:val="00EF01F0"/>
    <w:rsid w:val="00F076C6"/>
    <w:rsid w:val="00F1199E"/>
    <w:rsid w:val="00F11CE5"/>
    <w:rsid w:val="00F91758"/>
    <w:rsid w:val="00FB6022"/>
    <w:rsid w:val="00FE07FD"/>
    <w:rsid w:val="00FE1C9F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F3C"/>
    <w:pPr>
      <w:suppressAutoHyphens/>
    </w:pPr>
  </w:style>
  <w:style w:type="paragraph" w:styleId="Ttulo1">
    <w:name w:val="heading 1"/>
    <w:basedOn w:val="Normal"/>
    <w:link w:val="Ttulo1Char"/>
    <w:uiPriority w:val="9"/>
    <w:qFormat/>
    <w:rsid w:val="0063463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B4F3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4F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4F3C"/>
    <w:pPr>
      <w:spacing w:after="120"/>
    </w:pPr>
  </w:style>
  <w:style w:type="paragraph" w:styleId="Lista">
    <w:name w:val="List"/>
    <w:basedOn w:val="Textbody"/>
    <w:rsid w:val="00CB4F3C"/>
    <w:rPr>
      <w:rFonts w:cs="Mangal"/>
    </w:rPr>
  </w:style>
  <w:style w:type="paragraph" w:customStyle="1" w:styleId="Legenda1">
    <w:name w:val="Legenda1"/>
    <w:basedOn w:val="Standard"/>
    <w:rsid w:val="00CB4F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4F3C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CB4F3C"/>
    <w:pPr>
      <w:ind w:left="720"/>
    </w:pPr>
  </w:style>
  <w:style w:type="paragraph" w:customStyle="1" w:styleId="Cabealho1">
    <w:name w:val="Cabeçalho1"/>
    <w:basedOn w:val="Standard"/>
    <w:rsid w:val="00CB4F3C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CB4F3C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rsid w:val="00CB4F3C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rsid w:val="00CB4F3C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B4F3C"/>
    <w:pPr>
      <w:suppressLineNumbers/>
    </w:pPr>
  </w:style>
  <w:style w:type="character" w:customStyle="1" w:styleId="HeaderChar">
    <w:name w:val="Header Char"/>
    <w:basedOn w:val="Fontepargpadro"/>
    <w:rsid w:val="00CB4F3C"/>
  </w:style>
  <w:style w:type="character" w:customStyle="1" w:styleId="FooterChar">
    <w:name w:val="Footer Char"/>
    <w:basedOn w:val="Fontepargpadro"/>
    <w:rsid w:val="00CB4F3C"/>
  </w:style>
  <w:style w:type="character" w:customStyle="1" w:styleId="TextodenotaderodapChar">
    <w:name w:val="Texto de nota de rodapé Char"/>
    <w:basedOn w:val="Fontepargpadro"/>
    <w:rsid w:val="00CB4F3C"/>
    <w:rPr>
      <w:sz w:val="20"/>
      <w:szCs w:val="20"/>
    </w:rPr>
  </w:style>
  <w:style w:type="character" w:styleId="Refdenotaderodap">
    <w:name w:val="footnote reference"/>
    <w:basedOn w:val="Fontepargpadro"/>
    <w:rsid w:val="00CB4F3C"/>
    <w:rPr>
      <w:position w:val="0"/>
      <w:vertAlign w:val="superscript"/>
    </w:rPr>
  </w:style>
  <w:style w:type="character" w:styleId="Hyperlink">
    <w:name w:val="Hyperlink"/>
    <w:basedOn w:val="Fontepargpadro"/>
    <w:rsid w:val="00CB4F3C"/>
    <w:rPr>
      <w:color w:val="0000FF"/>
      <w:u w:val="single"/>
    </w:rPr>
  </w:style>
  <w:style w:type="character" w:customStyle="1" w:styleId="FootnoteSymbol">
    <w:name w:val="Footnote Symbol"/>
    <w:rsid w:val="00CB4F3C"/>
  </w:style>
  <w:style w:type="character" w:customStyle="1" w:styleId="Internetlink">
    <w:name w:val="Internet link"/>
    <w:rsid w:val="00CB4F3C"/>
    <w:rPr>
      <w:color w:val="000080"/>
      <w:u w:val="single"/>
    </w:rPr>
  </w:style>
  <w:style w:type="character" w:customStyle="1" w:styleId="Refdenotaderodap1">
    <w:name w:val="Ref. de nota de rodapé1"/>
    <w:basedOn w:val="Fontepargpadro"/>
    <w:rsid w:val="00CB4F3C"/>
    <w:rPr>
      <w:position w:val="0"/>
      <w:vertAlign w:val="superscript"/>
    </w:rPr>
  </w:style>
  <w:style w:type="character" w:customStyle="1" w:styleId="Fontepargpadro1">
    <w:name w:val="Fonte parág. padrão1"/>
    <w:rsid w:val="00CB4F3C"/>
  </w:style>
  <w:style w:type="numbering" w:customStyle="1" w:styleId="WWNum1">
    <w:name w:val="WWNum1"/>
    <w:basedOn w:val="Semlista"/>
    <w:rsid w:val="00CB4F3C"/>
    <w:pPr>
      <w:numPr>
        <w:numId w:val="1"/>
      </w:numPr>
    </w:pPr>
  </w:style>
  <w:style w:type="character" w:customStyle="1" w:styleId="apple-converted-space">
    <w:name w:val="apple-converted-space"/>
    <w:basedOn w:val="Fontepargpadro"/>
    <w:rsid w:val="00845A8F"/>
  </w:style>
  <w:style w:type="character" w:customStyle="1" w:styleId="Ttulo1Char">
    <w:name w:val="Título 1 Char"/>
    <w:basedOn w:val="Fontepargpadro"/>
    <w:link w:val="Ttulo1"/>
    <w:uiPriority w:val="9"/>
    <w:rsid w:val="00634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63463F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F3C"/>
    <w:pPr>
      <w:suppressAutoHyphens/>
    </w:pPr>
  </w:style>
  <w:style w:type="paragraph" w:styleId="Ttulo1">
    <w:name w:val="heading 1"/>
    <w:basedOn w:val="Normal"/>
    <w:link w:val="Ttulo1Char"/>
    <w:uiPriority w:val="9"/>
    <w:qFormat/>
    <w:rsid w:val="0063463F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B4F3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B4F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B4F3C"/>
    <w:pPr>
      <w:spacing w:after="120"/>
    </w:pPr>
  </w:style>
  <w:style w:type="paragraph" w:styleId="Lista">
    <w:name w:val="List"/>
    <w:basedOn w:val="Textbody"/>
    <w:rsid w:val="00CB4F3C"/>
    <w:rPr>
      <w:rFonts w:cs="Mangal"/>
    </w:rPr>
  </w:style>
  <w:style w:type="paragraph" w:customStyle="1" w:styleId="Legenda1">
    <w:name w:val="Legenda1"/>
    <w:basedOn w:val="Standard"/>
    <w:rsid w:val="00CB4F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B4F3C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CB4F3C"/>
    <w:pPr>
      <w:ind w:left="720"/>
    </w:pPr>
  </w:style>
  <w:style w:type="paragraph" w:customStyle="1" w:styleId="Cabealho1">
    <w:name w:val="Cabeçalho1"/>
    <w:basedOn w:val="Standard"/>
    <w:rsid w:val="00CB4F3C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CB4F3C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rsid w:val="00CB4F3C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rsid w:val="00CB4F3C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B4F3C"/>
    <w:pPr>
      <w:suppressLineNumbers/>
    </w:pPr>
  </w:style>
  <w:style w:type="character" w:customStyle="1" w:styleId="HeaderChar">
    <w:name w:val="Header Char"/>
    <w:basedOn w:val="Fontepargpadro"/>
    <w:rsid w:val="00CB4F3C"/>
  </w:style>
  <w:style w:type="character" w:customStyle="1" w:styleId="FooterChar">
    <w:name w:val="Footer Char"/>
    <w:basedOn w:val="Fontepargpadro"/>
    <w:rsid w:val="00CB4F3C"/>
  </w:style>
  <w:style w:type="character" w:customStyle="1" w:styleId="TextodenotaderodapChar">
    <w:name w:val="Texto de nota de rodapé Char"/>
    <w:basedOn w:val="Fontepargpadro"/>
    <w:rsid w:val="00CB4F3C"/>
    <w:rPr>
      <w:sz w:val="20"/>
      <w:szCs w:val="20"/>
    </w:rPr>
  </w:style>
  <w:style w:type="character" w:styleId="Refdenotaderodap">
    <w:name w:val="footnote reference"/>
    <w:basedOn w:val="Fontepargpadro"/>
    <w:rsid w:val="00CB4F3C"/>
    <w:rPr>
      <w:position w:val="0"/>
      <w:vertAlign w:val="superscript"/>
    </w:rPr>
  </w:style>
  <w:style w:type="character" w:styleId="Hyperlink">
    <w:name w:val="Hyperlink"/>
    <w:basedOn w:val="Fontepargpadro"/>
    <w:rsid w:val="00CB4F3C"/>
    <w:rPr>
      <w:color w:val="0000FF"/>
      <w:u w:val="single"/>
    </w:rPr>
  </w:style>
  <w:style w:type="character" w:customStyle="1" w:styleId="FootnoteSymbol">
    <w:name w:val="Footnote Symbol"/>
    <w:rsid w:val="00CB4F3C"/>
  </w:style>
  <w:style w:type="character" w:customStyle="1" w:styleId="Internetlink">
    <w:name w:val="Internet link"/>
    <w:rsid w:val="00CB4F3C"/>
    <w:rPr>
      <w:color w:val="000080"/>
      <w:u w:val="single"/>
    </w:rPr>
  </w:style>
  <w:style w:type="character" w:customStyle="1" w:styleId="Refdenotaderodap1">
    <w:name w:val="Ref. de nota de rodapé1"/>
    <w:basedOn w:val="Fontepargpadro"/>
    <w:rsid w:val="00CB4F3C"/>
    <w:rPr>
      <w:position w:val="0"/>
      <w:vertAlign w:val="superscript"/>
    </w:rPr>
  </w:style>
  <w:style w:type="character" w:customStyle="1" w:styleId="Fontepargpadro1">
    <w:name w:val="Fonte parág. padrão1"/>
    <w:rsid w:val="00CB4F3C"/>
  </w:style>
  <w:style w:type="numbering" w:customStyle="1" w:styleId="WWNum1">
    <w:name w:val="WWNum1"/>
    <w:basedOn w:val="Semlista"/>
    <w:rsid w:val="00CB4F3C"/>
    <w:pPr>
      <w:numPr>
        <w:numId w:val="1"/>
      </w:numPr>
    </w:pPr>
  </w:style>
  <w:style w:type="character" w:customStyle="1" w:styleId="apple-converted-space">
    <w:name w:val="apple-converted-space"/>
    <w:basedOn w:val="Fontepargpadro"/>
    <w:rsid w:val="00845A8F"/>
  </w:style>
  <w:style w:type="character" w:customStyle="1" w:styleId="Ttulo1Char">
    <w:name w:val="Título 1 Char"/>
    <w:basedOn w:val="Fontepargpadro"/>
    <w:link w:val="Ttulo1"/>
    <w:uiPriority w:val="9"/>
    <w:rsid w:val="00634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63463F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obonatt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4242-05CD-4A94-B840-1E23DCC8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Faculdades Pequeno Príncipe</cp:lastModifiedBy>
  <cp:revision>2</cp:revision>
  <dcterms:created xsi:type="dcterms:W3CDTF">2017-11-22T16:48:00Z</dcterms:created>
  <dcterms:modified xsi:type="dcterms:W3CDTF">2017-11-22T16:48:00Z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