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2" w:rsidRPr="009C6A92" w:rsidRDefault="009C6A92" w:rsidP="009C6A92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C6A92">
        <w:rPr>
          <w:rFonts w:ascii="Arial" w:hAnsi="Arial" w:cs="Arial"/>
          <w:b/>
        </w:rPr>
        <w:t>AVALIAÇÃO DE INAPT</w:t>
      </w:r>
      <w:r>
        <w:rPr>
          <w:rFonts w:ascii="Arial" w:hAnsi="Arial" w:cs="Arial"/>
          <w:b/>
        </w:rPr>
        <w:t>IDÃO SOROLÓGICA E MOLECULAR PÓS</w:t>
      </w:r>
      <w:r w:rsidR="007C14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9C6A92">
        <w:rPr>
          <w:rFonts w:ascii="Arial" w:hAnsi="Arial" w:cs="Arial"/>
          <w:b/>
        </w:rPr>
        <w:t xml:space="preserve">IMPLANTAÇÃO DA TÉCNICA DE AMPLIFICAÇÃO DE ÁCIDOS NUCLÉICOS (NAT) NA TRIAGEM DA HEPATITE C E DO HIV NO </w:t>
      </w:r>
      <w:r>
        <w:rPr>
          <w:rFonts w:ascii="Arial" w:hAnsi="Arial" w:cs="Arial"/>
          <w:b/>
        </w:rPr>
        <w:t xml:space="preserve">CENTRO DE HEMATOLOGIA </w:t>
      </w:r>
      <w:r w:rsidRPr="009C6A92">
        <w:rPr>
          <w:rFonts w:ascii="Arial" w:hAnsi="Arial" w:cs="Arial"/>
          <w:b/>
        </w:rPr>
        <w:t xml:space="preserve">E HEMOTERAPIA DO </w:t>
      </w:r>
      <w:r w:rsidRPr="00E5248B">
        <w:rPr>
          <w:rFonts w:ascii="Arial" w:hAnsi="Arial" w:cs="Arial"/>
          <w:b/>
        </w:rPr>
        <w:t>PARANÁ</w:t>
      </w:r>
      <w:r w:rsidR="00587CFB" w:rsidRPr="00E5248B">
        <w:rPr>
          <w:rFonts w:ascii="Arial" w:hAnsi="Arial" w:cs="Arial"/>
          <w:b/>
        </w:rPr>
        <w:t xml:space="preserve"> - HEMEPAR</w:t>
      </w:r>
    </w:p>
    <w:p w:rsidR="000274C4" w:rsidRDefault="000274C4"/>
    <w:p w:rsidR="009C6A92" w:rsidRDefault="009C6A92"/>
    <w:p w:rsidR="009C6A92" w:rsidRDefault="00080C71" w:rsidP="009C6A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Thalita Cecília Lima; Faculdades Pequeno Príncipe.</w:t>
      </w:r>
    </w:p>
    <w:p w:rsidR="009C6A92" w:rsidRDefault="00436B5A" w:rsidP="009C6A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Prof.ª</w:t>
      </w:r>
      <w:r w:rsidR="00482C6D">
        <w:rPr>
          <w:rFonts w:ascii="Arial" w:hAnsi="Arial" w:cs="Arial"/>
        </w:rPr>
        <w:t xml:space="preserve"> </w:t>
      </w:r>
      <w:r w:rsidR="009E38EA">
        <w:rPr>
          <w:rFonts w:ascii="Arial" w:hAnsi="Arial" w:cs="Arial"/>
        </w:rPr>
        <w:t>Mda</w:t>
      </w:r>
      <w:r>
        <w:rPr>
          <w:rFonts w:ascii="Arial" w:hAnsi="Arial" w:cs="Arial"/>
        </w:rPr>
        <w:t>. Elaine</w:t>
      </w:r>
      <w:r w:rsidR="00080C71">
        <w:rPr>
          <w:rFonts w:ascii="Arial" w:hAnsi="Arial" w:cs="Arial"/>
        </w:rPr>
        <w:t xml:space="preserve"> Doff Sotta; Faculdades Pequeno Príncipe.</w:t>
      </w:r>
    </w:p>
    <w:p w:rsidR="009C6A92" w:rsidRPr="009C6A92" w:rsidRDefault="009C6A92" w:rsidP="009C6A92">
      <w:pPr>
        <w:rPr>
          <w:rFonts w:ascii="Arial" w:hAnsi="Arial" w:cs="Arial"/>
        </w:rPr>
      </w:pPr>
    </w:p>
    <w:p w:rsidR="009C6A92" w:rsidRPr="009C6A92" w:rsidRDefault="009C6A92" w:rsidP="009C6A92">
      <w:pPr>
        <w:rPr>
          <w:rFonts w:ascii="Arial" w:hAnsi="Arial" w:cs="Arial"/>
        </w:rPr>
      </w:pPr>
    </w:p>
    <w:p w:rsidR="009C6A92" w:rsidRPr="009C6A92" w:rsidRDefault="009C6A92" w:rsidP="009C6A92">
      <w:pPr>
        <w:rPr>
          <w:rFonts w:ascii="Arial" w:hAnsi="Arial" w:cs="Arial"/>
        </w:rPr>
      </w:pPr>
    </w:p>
    <w:p w:rsidR="00C533EF" w:rsidRPr="00AF2760" w:rsidRDefault="009C6A92" w:rsidP="00C533EF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</w:rPr>
      </w:pPr>
      <w:r w:rsidRPr="007C142A">
        <w:rPr>
          <w:rFonts w:cs="Arial"/>
          <w:b/>
        </w:rPr>
        <w:t xml:space="preserve">RESUMO: </w:t>
      </w:r>
      <w:r w:rsidR="00C533EF" w:rsidRPr="002F21CC">
        <w:rPr>
          <w:rFonts w:cs="Arial"/>
        </w:rPr>
        <w:t xml:space="preserve">Objetivando identificar se houve um aumento da segurança transfusional no </w:t>
      </w:r>
      <w:r w:rsidR="00A27D3C" w:rsidRPr="00E5248B">
        <w:rPr>
          <w:rFonts w:cs="Arial"/>
        </w:rPr>
        <w:t xml:space="preserve">Hemepar </w:t>
      </w:r>
      <w:r w:rsidR="00C533EF" w:rsidRPr="00E5248B">
        <w:rPr>
          <w:rFonts w:cs="Arial"/>
        </w:rPr>
        <w:t>após a implantação da Técnica de Amplificação de Ácidos Nucléicos (NAT) para os Vírus</w:t>
      </w:r>
      <w:r w:rsidR="00C533EF" w:rsidRPr="002F21CC">
        <w:rPr>
          <w:rFonts w:cs="Arial"/>
        </w:rPr>
        <w:t xml:space="preserve"> HCV e HIV, realizou-se uma pesquisa </w:t>
      </w:r>
      <w:r w:rsidR="00C533EF">
        <w:rPr>
          <w:rFonts w:cs="Arial"/>
        </w:rPr>
        <w:t>quantitativa, documental e</w:t>
      </w:r>
      <w:r w:rsidR="00C533EF" w:rsidRPr="002F21CC">
        <w:rPr>
          <w:rFonts w:cs="Arial"/>
        </w:rPr>
        <w:t xml:space="preserve"> retrospectiva, quanto a dados de sorologia e NAT reagentes</w:t>
      </w:r>
      <w:r w:rsidR="00C533EF">
        <w:rPr>
          <w:rFonts w:cs="Arial"/>
        </w:rPr>
        <w:t>/não reagentes</w:t>
      </w:r>
      <w:r w:rsidR="00552827">
        <w:rPr>
          <w:rFonts w:cs="Arial"/>
        </w:rPr>
        <w:t>,</w:t>
      </w:r>
      <w:r w:rsidR="00C533EF">
        <w:rPr>
          <w:rFonts w:cs="Arial"/>
        </w:rPr>
        <w:t xml:space="preserve"> de outu</w:t>
      </w:r>
      <w:r w:rsidR="00C533EF" w:rsidRPr="002F21CC">
        <w:rPr>
          <w:rFonts w:cs="Arial"/>
        </w:rPr>
        <w:t xml:space="preserve">bro de 2012 a </w:t>
      </w:r>
      <w:r w:rsidR="00C533EF">
        <w:rPr>
          <w:rFonts w:cs="Arial"/>
        </w:rPr>
        <w:t xml:space="preserve">julho de 2014. </w:t>
      </w:r>
      <w:r w:rsidR="00C533EF" w:rsidRPr="00552827">
        <w:rPr>
          <w:rFonts w:cs="Arial"/>
        </w:rPr>
        <w:t>Foi possível identificar</w:t>
      </w:r>
      <w:r w:rsidR="00C533EF" w:rsidRPr="008C0759">
        <w:rPr>
          <w:rFonts w:cs="Arial"/>
        </w:rPr>
        <w:t xml:space="preserve"> que a prevalência de inaptidão sorológica encontrada </w:t>
      </w:r>
      <w:r w:rsidR="00C533EF" w:rsidRPr="00EF5CCC">
        <w:rPr>
          <w:rFonts w:cs="Arial"/>
          <w:color w:val="000000" w:themeColor="text1"/>
        </w:rPr>
        <w:t xml:space="preserve">no </w:t>
      </w:r>
      <w:r w:rsidR="00552827" w:rsidRPr="00EF5CCC">
        <w:rPr>
          <w:rFonts w:cs="Arial"/>
          <w:color w:val="000000" w:themeColor="text1"/>
        </w:rPr>
        <w:t>Hemepar</w:t>
      </w:r>
      <w:r w:rsidR="00C533EF" w:rsidRPr="00EF5CCC">
        <w:rPr>
          <w:rFonts w:cs="Arial"/>
          <w:color w:val="000000" w:themeColor="text1"/>
        </w:rPr>
        <w:t>, para o HIV foi de 0,24% e de inaptidão molecular foi de 0,036%.  Já para o vírus HCV, a</w:t>
      </w:r>
      <w:r w:rsidR="00C533EF" w:rsidRPr="008C0759">
        <w:rPr>
          <w:rFonts w:cs="Arial"/>
        </w:rPr>
        <w:t xml:space="preserve"> prevalência sorológica foi de 0,32%</w:t>
      </w:r>
      <w:r w:rsidR="00C533EF" w:rsidRPr="008F5769">
        <w:rPr>
          <w:rFonts w:cs="Arial"/>
        </w:rPr>
        <w:t xml:space="preserve"> e a molecular de 0,014</w:t>
      </w:r>
      <w:r w:rsidR="00C533EF" w:rsidRPr="00AF2760">
        <w:rPr>
          <w:rFonts w:cs="Arial"/>
        </w:rPr>
        <w:t xml:space="preserve">%. Para o HIV, do total de amostras analisadas (n=200.204), 0,20% (n=408) apresentaram positividade somente na sorologia, 0,04% (n=71) foram reagentes na sorologia e no NAT simultaneamente, 0,001% (n=1) reagente somente no NAT e 99,76% (n=199.724) foram não reagentes para os dois testes. Para o HCV, das 200.204 amostras, 0,30% (n=608) apresentaram positividade somente na sorologia, 0,01% (n=30) foram reagentes na sorologia e no teste NAT simultaneamente, 0% (n=0) reagente somente no NAT e 99,68% (n=199.566) foram não reagentes nos dois testes. </w:t>
      </w:r>
      <w:r w:rsidR="00C533EF">
        <w:rPr>
          <w:rFonts w:cs="Arial"/>
        </w:rPr>
        <w:t xml:space="preserve"> Tendo sido identificada neste estudo apenas janela imunológica para o HIV na população estudada.</w:t>
      </w:r>
    </w:p>
    <w:p w:rsidR="009C6A92" w:rsidRPr="007C142A" w:rsidRDefault="009C6A92" w:rsidP="009C6A92">
      <w:pPr>
        <w:rPr>
          <w:rFonts w:ascii="Arial" w:hAnsi="Arial" w:cs="Arial"/>
          <w:b/>
        </w:rPr>
      </w:pPr>
    </w:p>
    <w:p w:rsidR="009C6A92" w:rsidRDefault="009C6A92" w:rsidP="009C6A92">
      <w:pPr>
        <w:rPr>
          <w:rFonts w:ascii="Arial" w:hAnsi="Arial" w:cs="Arial"/>
        </w:rPr>
      </w:pPr>
    </w:p>
    <w:p w:rsidR="00C533EF" w:rsidRPr="003E435A" w:rsidRDefault="009E38EA" w:rsidP="00C533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</w:t>
      </w:r>
      <w:r w:rsidR="009C6A92" w:rsidRPr="007C142A">
        <w:rPr>
          <w:rFonts w:ascii="Arial" w:hAnsi="Arial" w:cs="Arial"/>
          <w:b/>
        </w:rPr>
        <w:t>–CHAVE:</w:t>
      </w:r>
      <w:r w:rsidR="009C6A92">
        <w:rPr>
          <w:rFonts w:ascii="Arial" w:hAnsi="Arial" w:cs="Arial"/>
        </w:rPr>
        <w:t xml:space="preserve"> </w:t>
      </w:r>
      <w:r w:rsidR="00C533EF">
        <w:rPr>
          <w:rFonts w:ascii="Arial" w:hAnsi="Arial" w:cs="Arial"/>
        </w:rPr>
        <w:t>Segurança T</w:t>
      </w:r>
      <w:r w:rsidR="00C533EF" w:rsidRPr="003E435A">
        <w:rPr>
          <w:rFonts w:ascii="Arial" w:hAnsi="Arial" w:cs="Arial"/>
        </w:rPr>
        <w:t xml:space="preserve">ransfusional, </w:t>
      </w:r>
      <w:r w:rsidR="00C533EF">
        <w:rPr>
          <w:rFonts w:ascii="Arial" w:hAnsi="Arial" w:cs="Arial"/>
        </w:rPr>
        <w:t>S</w:t>
      </w:r>
      <w:r w:rsidR="00C533EF" w:rsidRPr="003E435A">
        <w:rPr>
          <w:rFonts w:ascii="Arial" w:hAnsi="Arial" w:cs="Arial"/>
        </w:rPr>
        <w:t xml:space="preserve">orologia, bancos de sangue, biologia molecular. </w:t>
      </w:r>
    </w:p>
    <w:p w:rsidR="009C6A92" w:rsidRDefault="009C6A92" w:rsidP="006C48C9">
      <w:pPr>
        <w:spacing w:line="360" w:lineRule="auto"/>
        <w:ind w:firstLine="709"/>
        <w:rPr>
          <w:rFonts w:ascii="Arial" w:hAnsi="Arial" w:cs="Arial"/>
        </w:rPr>
      </w:pPr>
    </w:p>
    <w:p w:rsidR="009C6A92" w:rsidRPr="009C6A92" w:rsidRDefault="009C6A92" w:rsidP="006C48C9">
      <w:pPr>
        <w:spacing w:line="360" w:lineRule="auto"/>
        <w:ind w:firstLine="709"/>
        <w:rPr>
          <w:rFonts w:ascii="Arial" w:hAnsi="Arial" w:cs="Arial"/>
        </w:rPr>
      </w:pPr>
    </w:p>
    <w:p w:rsidR="009C6A92" w:rsidRPr="006C48C9" w:rsidRDefault="007C142A" w:rsidP="006C48C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C48C9">
        <w:rPr>
          <w:rFonts w:ascii="Arial" w:hAnsi="Arial" w:cs="Arial"/>
        </w:rPr>
        <w:t>Introdução</w:t>
      </w:r>
    </w:p>
    <w:p w:rsidR="00C533EF" w:rsidRDefault="00C533EF" w:rsidP="006C48C9">
      <w:pPr>
        <w:spacing w:line="360" w:lineRule="auto"/>
        <w:ind w:firstLine="709"/>
        <w:rPr>
          <w:rFonts w:ascii="Arial" w:hAnsi="Arial" w:cs="Arial"/>
        </w:rPr>
      </w:pPr>
    </w:p>
    <w:p w:rsidR="00C533EF" w:rsidRDefault="00C533EF" w:rsidP="006C48C9">
      <w:pPr>
        <w:spacing w:line="360" w:lineRule="auto"/>
        <w:ind w:firstLine="709"/>
        <w:rPr>
          <w:rFonts w:ascii="Arial" w:hAnsi="Arial" w:cs="Arial"/>
        </w:rPr>
      </w:pPr>
    </w:p>
    <w:p w:rsidR="00C533EF" w:rsidRPr="002F21CC" w:rsidRDefault="00E5248B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552827">
        <w:rPr>
          <w:rFonts w:cs="Arial"/>
        </w:rPr>
        <w:t>A</w:t>
      </w:r>
      <w:r w:rsidR="00C533EF" w:rsidRPr="00552827">
        <w:rPr>
          <w:rFonts w:cs="Arial"/>
        </w:rPr>
        <w:t>s</w:t>
      </w:r>
      <w:r w:rsidR="00C533EF">
        <w:rPr>
          <w:rFonts w:cs="Arial"/>
        </w:rPr>
        <w:t xml:space="preserve"> trans</w:t>
      </w:r>
      <w:r w:rsidR="00C533EF" w:rsidRPr="002F21CC">
        <w:rPr>
          <w:rFonts w:cs="Arial"/>
        </w:rPr>
        <w:t xml:space="preserve">fusões de sangue são consideradas uma opção de tratamento para pessoas que sofrem de </w:t>
      </w:r>
      <w:r w:rsidR="00C533EF" w:rsidRPr="00E5248B">
        <w:rPr>
          <w:rFonts w:cs="Arial"/>
        </w:rPr>
        <w:t>anemia</w:t>
      </w:r>
      <w:r w:rsidR="00A27D3C" w:rsidRPr="00E5248B">
        <w:rPr>
          <w:rFonts w:cs="Arial"/>
        </w:rPr>
        <w:t>s</w:t>
      </w:r>
      <w:r w:rsidR="00C533EF" w:rsidRPr="00E5248B">
        <w:rPr>
          <w:rFonts w:cs="Arial"/>
        </w:rPr>
        <w:t>, talassemia</w:t>
      </w:r>
      <w:r w:rsidR="00A27D3C" w:rsidRPr="00E5248B">
        <w:rPr>
          <w:rFonts w:cs="Arial"/>
        </w:rPr>
        <w:t>s</w:t>
      </w:r>
      <w:r w:rsidR="00C533EF" w:rsidRPr="00E5248B">
        <w:rPr>
          <w:rFonts w:cs="Arial"/>
        </w:rPr>
        <w:t>, hemofilias</w:t>
      </w:r>
      <w:r>
        <w:rPr>
          <w:rFonts w:cs="Arial"/>
        </w:rPr>
        <w:t xml:space="preserve">, leucemias e </w:t>
      </w:r>
      <w:r w:rsidR="00C533EF" w:rsidRPr="002F21CC">
        <w:rPr>
          <w:rFonts w:cs="Arial"/>
        </w:rPr>
        <w:t>também como terapia de suporte em procedimentos hospitalares de grande porte, incluindo cirurgias e transplantes</w:t>
      </w:r>
      <w:r w:rsidR="00C533EF" w:rsidRPr="00E5248B">
        <w:rPr>
          <w:rFonts w:cs="Arial"/>
        </w:rPr>
        <w:t xml:space="preserve">. </w:t>
      </w:r>
      <w:r w:rsidR="00B2384B" w:rsidRPr="00E5248B">
        <w:rPr>
          <w:rFonts w:cs="Arial"/>
        </w:rPr>
        <w:t xml:space="preserve">Considerando que </w:t>
      </w:r>
      <w:r w:rsidR="00C533EF" w:rsidRPr="00E5248B">
        <w:rPr>
          <w:rFonts w:cs="Arial"/>
        </w:rPr>
        <w:t>os hemocomponentes e hemoderivados devem ser seguros para o uso humano</w:t>
      </w:r>
      <w:r w:rsidRPr="00E5248B">
        <w:rPr>
          <w:rFonts w:cs="Arial"/>
        </w:rPr>
        <w:t xml:space="preserve">, </w:t>
      </w:r>
      <w:r w:rsidR="00B2384B" w:rsidRPr="00E5248B">
        <w:rPr>
          <w:rFonts w:cs="Arial"/>
        </w:rPr>
        <w:t>observa-</w:t>
      </w:r>
      <w:r w:rsidR="00C533EF" w:rsidRPr="00E5248B">
        <w:rPr>
          <w:rFonts w:cs="Arial"/>
        </w:rPr>
        <w:t>se a importância</w:t>
      </w:r>
      <w:r w:rsidR="00C533EF" w:rsidRPr="002F21CC">
        <w:rPr>
          <w:rFonts w:cs="Arial"/>
        </w:rPr>
        <w:t xml:space="preserve"> de garantir a qualidade das bolsas (JUNQUEIRA; HAMERSCHLAK; ROSENBLIT, 2009; WHO, 2006). </w:t>
      </w:r>
    </w:p>
    <w:p w:rsidR="00C84298" w:rsidRDefault="00D10557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>
        <w:rPr>
          <w:rFonts w:cs="Arial"/>
        </w:rPr>
        <w:lastRenderedPageBreak/>
        <w:t xml:space="preserve">No Brasil </w:t>
      </w:r>
      <w:r w:rsidR="0090785B">
        <w:rPr>
          <w:rFonts w:cs="Arial"/>
        </w:rPr>
        <w:t>o</w:t>
      </w:r>
      <w:r w:rsidR="00C533EF" w:rsidRPr="0085626D">
        <w:rPr>
          <w:rFonts w:cs="Arial"/>
        </w:rPr>
        <w:t>s principais regulament</w:t>
      </w:r>
      <w:r w:rsidR="00055257" w:rsidRPr="0085626D">
        <w:rPr>
          <w:rFonts w:cs="Arial"/>
        </w:rPr>
        <w:t>os</w:t>
      </w:r>
      <w:r w:rsidR="00C533EF" w:rsidRPr="0085626D">
        <w:rPr>
          <w:rFonts w:cs="Arial"/>
        </w:rPr>
        <w:t xml:space="preserve"> </w:t>
      </w:r>
      <w:r w:rsidR="00055257" w:rsidRPr="0085626D">
        <w:rPr>
          <w:rFonts w:cs="Arial"/>
        </w:rPr>
        <w:t>d</w:t>
      </w:r>
      <w:r w:rsidR="00C533EF" w:rsidRPr="0085626D">
        <w:rPr>
          <w:rFonts w:cs="Arial"/>
        </w:rPr>
        <w:t>os procedimentos hemoterápicos são a Portaria nº 2712, do Ministério da Saúde, de 2013 e a RDC n° 34</w:t>
      </w:r>
      <w:r w:rsidR="009E38EA" w:rsidRPr="0085626D">
        <w:rPr>
          <w:rFonts w:cs="Arial"/>
        </w:rPr>
        <w:t xml:space="preserve"> da ANVISA de 2014</w:t>
      </w:r>
      <w:r w:rsidR="00CA0C12">
        <w:rPr>
          <w:rFonts w:cs="Arial"/>
        </w:rPr>
        <w:t xml:space="preserve">. </w:t>
      </w:r>
      <w:r w:rsidR="00C533EF" w:rsidRPr="00317DB4">
        <w:rPr>
          <w:rFonts w:cs="Arial"/>
        </w:rPr>
        <w:t>O Ministério da Saúde estabelece que as do</w:t>
      </w:r>
      <w:r w:rsidR="00B2384B" w:rsidRPr="00317DB4">
        <w:rPr>
          <w:rFonts w:cs="Arial"/>
        </w:rPr>
        <w:t>e</w:t>
      </w:r>
      <w:r w:rsidR="00C533EF" w:rsidRPr="00317DB4">
        <w:rPr>
          <w:rFonts w:cs="Arial"/>
        </w:rPr>
        <w:t xml:space="preserve">nças a serem triadas são: Sífilis, Doença de Chagas, Hepatite B, Hepatite C, HIV 1/2 e HTLV I/II; Malária </w:t>
      </w:r>
      <w:r w:rsidR="00B2384B" w:rsidRPr="00317DB4">
        <w:rPr>
          <w:rFonts w:cs="Arial"/>
        </w:rPr>
        <w:t xml:space="preserve">deve ser </w:t>
      </w:r>
      <w:r w:rsidR="00C533EF" w:rsidRPr="00317DB4">
        <w:rPr>
          <w:rFonts w:cs="Arial"/>
        </w:rPr>
        <w:t xml:space="preserve">testada apenas em regiões endêmicas e Citomegalovírus em casos especiais. </w:t>
      </w:r>
      <w:r w:rsidR="00B2384B" w:rsidRPr="00317DB4">
        <w:rPr>
          <w:rFonts w:cs="Arial"/>
        </w:rPr>
        <w:t xml:space="preserve">Como </w:t>
      </w:r>
      <w:r w:rsidR="00C533EF" w:rsidRPr="00317DB4">
        <w:rPr>
          <w:rFonts w:cs="Arial"/>
        </w:rPr>
        <w:t xml:space="preserve">diversos componentes </w:t>
      </w:r>
      <w:r w:rsidR="00B2384B" w:rsidRPr="00317DB4">
        <w:rPr>
          <w:rFonts w:cs="Arial"/>
        </w:rPr>
        <w:t xml:space="preserve">de uma mesma doação </w:t>
      </w:r>
      <w:r w:rsidR="00C533EF" w:rsidRPr="00317DB4">
        <w:rPr>
          <w:rFonts w:cs="Arial"/>
        </w:rPr>
        <w:t>podem ser transfundidos em receptores diferentes, a triagem se torna ainda mais importante, pois em casos d</w:t>
      </w:r>
      <w:r w:rsidR="00044468">
        <w:rPr>
          <w:rFonts w:cs="Arial"/>
        </w:rPr>
        <w:t xml:space="preserve">e não se detectar uma inaptidão, </w:t>
      </w:r>
      <w:r w:rsidR="00C533EF" w:rsidRPr="00317DB4">
        <w:rPr>
          <w:rFonts w:cs="Arial"/>
        </w:rPr>
        <w:t xml:space="preserve">mais </w:t>
      </w:r>
      <w:r w:rsidR="00C533EF" w:rsidRPr="00044468">
        <w:rPr>
          <w:rFonts w:cs="Arial"/>
        </w:rPr>
        <w:t>de um paciente pode ser prejudicado</w:t>
      </w:r>
      <w:r w:rsidR="00C84298" w:rsidRPr="00044468">
        <w:rPr>
          <w:rFonts w:cs="Arial"/>
        </w:rPr>
        <w:t xml:space="preserve">; sendo assim, </w:t>
      </w:r>
      <w:r w:rsidR="00C533EF" w:rsidRPr="00044468">
        <w:rPr>
          <w:rFonts w:cs="Arial"/>
        </w:rPr>
        <w:t xml:space="preserve">a portaria, nº 2712 de 2013, </w:t>
      </w:r>
      <w:r w:rsidR="00317DB4" w:rsidRPr="00044468">
        <w:rPr>
          <w:rFonts w:cs="Arial"/>
        </w:rPr>
        <w:t>regulament</w:t>
      </w:r>
      <w:r w:rsidR="007A7313" w:rsidRPr="00044468">
        <w:rPr>
          <w:rFonts w:cs="Arial"/>
        </w:rPr>
        <w:t>ou</w:t>
      </w:r>
      <w:r w:rsidR="00C533EF" w:rsidRPr="00044468">
        <w:rPr>
          <w:rFonts w:cs="Arial"/>
        </w:rPr>
        <w:t xml:space="preserve"> novas regras para procedimentos hemoterápicos em todo território nacional, entre el</w:t>
      </w:r>
      <w:r w:rsidR="007A7313" w:rsidRPr="00044468">
        <w:rPr>
          <w:rFonts w:cs="Arial"/>
        </w:rPr>
        <w:t>a</w:t>
      </w:r>
      <w:r w:rsidR="00C533EF" w:rsidRPr="00044468">
        <w:rPr>
          <w:rFonts w:cs="Arial"/>
        </w:rPr>
        <w:t xml:space="preserve">s a utilização </w:t>
      </w:r>
      <w:r w:rsidR="007A7313" w:rsidRPr="00044468">
        <w:rPr>
          <w:rFonts w:cs="Arial"/>
        </w:rPr>
        <w:t>d</w:t>
      </w:r>
      <w:r w:rsidR="00C533EF" w:rsidRPr="00044468">
        <w:rPr>
          <w:rFonts w:cs="Arial"/>
        </w:rPr>
        <w:t>o Teste de Amplificação de Ácidos nucléicos</w:t>
      </w:r>
      <w:r w:rsidR="00317DB4" w:rsidRPr="00044468">
        <w:rPr>
          <w:rFonts w:cs="Arial"/>
        </w:rPr>
        <w:t xml:space="preserve"> </w:t>
      </w:r>
      <w:r w:rsidR="00B2384B" w:rsidRPr="00044468">
        <w:rPr>
          <w:rFonts w:cs="Arial"/>
        </w:rPr>
        <w:t>(</w:t>
      </w:r>
      <w:r w:rsidR="00C533EF" w:rsidRPr="00044468">
        <w:rPr>
          <w:rFonts w:cs="Arial"/>
        </w:rPr>
        <w:t>NAT</w:t>
      </w:r>
      <w:r w:rsidR="00B2384B" w:rsidRPr="00044468">
        <w:rPr>
          <w:rFonts w:cs="Arial"/>
        </w:rPr>
        <w:t>)</w:t>
      </w:r>
      <w:r w:rsidR="00C533EF" w:rsidRPr="00044468">
        <w:rPr>
          <w:rFonts w:cs="Arial"/>
        </w:rPr>
        <w:t xml:space="preserve">, </w:t>
      </w:r>
      <w:r w:rsidR="00B37200" w:rsidRPr="00044468">
        <w:rPr>
          <w:rFonts w:cs="Arial"/>
        </w:rPr>
        <w:t xml:space="preserve">para </w:t>
      </w:r>
      <w:r w:rsidR="00C533EF" w:rsidRPr="00044468">
        <w:rPr>
          <w:rFonts w:cs="Arial"/>
        </w:rPr>
        <w:t>detecção de DNA ou RNA de agentes infecciosos potencialmente transmissíveis através do sangue</w:t>
      </w:r>
      <w:r w:rsidR="007A7313" w:rsidRPr="00044468">
        <w:rPr>
          <w:rFonts w:cs="Arial"/>
        </w:rPr>
        <w:t xml:space="preserve"> doado</w:t>
      </w:r>
      <w:r w:rsidR="00C533EF" w:rsidRPr="00044468">
        <w:rPr>
          <w:rFonts w:cs="Arial"/>
        </w:rPr>
        <w:t xml:space="preserve">. Esse método tem por objetivo </w:t>
      </w:r>
      <w:r w:rsidR="00B37200" w:rsidRPr="00044468">
        <w:rPr>
          <w:rFonts w:cs="Arial"/>
        </w:rPr>
        <w:t xml:space="preserve">complementar aos métodos sorológicos de triagem ao </w:t>
      </w:r>
      <w:r w:rsidR="00C533EF" w:rsidRPr="00044468">
        <w:rPr>
          <w:rFonts w:cs="Arial"/>
        </w:rPr>
        <w:t>identificar</w:t>
      </w:r>
      <w:r w:rsidR="00C533EF" w:rsidRPr="00317DB4">
        <w:rPr>
          <w:rFonts w:cs="Arial"/>
        </w:rPr>
        <w:t xml:space="preserve"> doadores inaptos que não possuem níveis detectáveis de antígenos e/ou</w:t>
      </w:r>
      <w:r w:rsidR="00C533EF" w:rsidRPr="002F21CC">
        <w:rPr>
          <w:rFonts w:cs="Arial"/>
        </w:rPr>
        <w:t xml:space="preserve"> anticorpos circulantes para as técnicas sorológicas utilizadas</w:t>
      </w:r>
      <w:r w:rsidR="00317DB4">
        <w:rPr>
          <w:rFonts w:cs="Arial"/>
        </w:rPr>
        <w:t xml:space="preserve"> </w:t>
      </w:r>
      <w:r w:rsidR="00C533EF" w:rsidRPr="002F21CC">
        <w:rPr>
          <w:rFonts w:cs="Arial"/>
        </w:rPr>
        <w:t>(</w:t>
      </w:r>
      <w:r w:rsidR="00CA0C12">
        <w:rPr>
          <w:rFonts w:cs="Arial"/>
        </w:rPr>
        <w:t xml:space="preserve">ANVISA, 2010; </w:t>
      </w:r>
      <w:r w:rsidR="00C533EF" w:rsidRPr="002F21CC">
        <w:rPr>
          <w:rFonts w:cs="Arial"/>
        </w:rPr>
        <w:t xml:space="preserve">BRASIL, 2007; </w:t>
      </w:r>
      <w:r w:rsidR="00CA0C12">
        <w:rPr>
          <w:rFonts w:cs="Arial"/>
        </w:rPr>
        <w:t xml:space="preserve">BRASIL, 2010; </w:t>
      </w:r>
      <w:r w:rsidR="00C533EF" w:rsidRPr="002F21CC">
        <w:rPr>
          <w:rFonts w:cs="Arial"/>
        </w:rPr>
        <w:t>BRASIL, 2013</w:t>
      </w:r>
      <w:r w:rsidR="00C876A7">
        <w:rPr>
          <w:rFonts w:cs="Arial"/>
        </w:rPr>
        <w:t>a</w:t>
      </w:r>
      <w:r w:rsidR="00BA1393">
        <w:rPr>
          <w:rFonts w:cs="Arial"/>
        </w:rPr>
        <w:t>; BRASIL, 2014b</w:t>
      </w:r>
      <w:r w:rsidR="00C533EF" w:rsidRPr="002F21CC">
        <w:rPr>
          <w:rFonts w:cs="Arial"/>
        </w:rPr>
        <w:t xml:space="preserve">). </w:t>
      </w:r>
    </w:p>
    <w:p w:rsidR="006C48C9" w:rsidRPr="002F21CC" w:rsidRDefault="006C48C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C533EF" w:rsidRPr="00C533EF" w:rsidRDefault="00C533EF" w:rsidP="006C48C9">
      <w:pPr>
        <w:spacing w:line="360" w:lineRule="auto"/>
        <w:ind w:firstLine="709"/>
        <w:rPr>
          <w:rFonts w:ascii="Arial" w:hAnsi="Arial" w:cs="Arial"/>
        </w:rPr>
      </w:pPr>
    </w:p>
    <w:p w:rsidR="007C142A" w:rsidRDefault="007C142A" w:rsidP="006C48C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Revisão bibliográfica</w:t>
      </w:r>
    </w:p>
    <w:p w:rsidR="00086918" w:rsidRDefault="00086918" w:rsidP="0035616E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A3715" w:rsidRDefault="00FA3715" w:rsidP="0035616E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A3715" w:rsidRPr="002F21CC" w:rsidRDefault="00FA3715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2F21CC">
        <w:rPr>
          <w:rFonts w:cs="Arial"/>
        </w:rPr>
        <w:t>A transfusão de sangue e seus componentes sempre será um procedimento de risco</w:t>
      </w:r>
      <w:r w:rsidR="00317DB4">
        <w:rPr>
          <w:rFonts w:cs="Arial"/>
        </w:rPr>
        <w:t xml:space="preserve">, porém, </w:t>
      </w:r>
      <w:r w:rsidRPr="002F21CC">
        <w:rPr>
          <w:rFonts w:cs="Arial"/>
        </w:rPr>
        <w:t>muitas medida</w:t>
      </w:r>
      <w:r>
        <w:rPr>
          <w:rFonts w:cs="Arial"/>
        </w:rPr>
        <w:t>s têm sido tomadas para minimizá</w:t>
      </w:r>
      <w:r w:rsidRPr="002F21CC">
        <w:rPr>
          <w:rFonts w:cs="Arial"/>
        </w:rPr>
        <w:t xml:space="preserve">-lo. O surgimento da AIDS (Síndrome da Imunodeficiência Adquirida) e o grande avanço na disseminação do vírus HIV nos anos 80 foi a principal motivação para a implementação de testes de triagem nos bancos de sangue de todo o mundo, o que tornou a prática transfusional muito mais segura.  Assim, o desenvolvimento de novas formas de triagem, tem por objetivo, minimizar os riscos transfusionais, principalmente quanto à prevenção da disseminação de agentes </w:t>
      </w:r>
      <w:r w:rsidR="007A7313" w:rsidRPr="002F21CC">
        <w:rPr>
          <w:rFonts w:cs="Arial"/>
        </w:rPr>
        <w:t>infectocontagiosos</w:t>
      </w:r>
      <w:r w:rsidRPr="002F21CC">
        <w:rPr>
          <w:rFonts w:cs="Arial"/>
        </w:rPr>
        <w:t xml:space="preserve"> (JUNQUEIRA; HAMERSCHLAK; ROSENBLIT, 2009; LIMA, 2011). </w:t>
      </w:r>
    </w:p>
    <w:p w:rsidR="00FA3715" w:rsidRDefault="005A7D1C" w:rsidP="001F19F1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EF5CCC">
        <w:rPr>
          <w:rFonts w:cs="Arial"/>
          <w:color w:val="000000" w:themeColor="text1"/>
        </w:rPr>
        <w:t>A triagem clínica do doador não é capaz de conferir sozinha a segurança à transfusão, mesmo c</w:t>
      </w:r>
      <w:r w:rsidR="00EF5CCC">
        <w:rPr>
          <w:rFonts w:cs="Arial"/>
          <w:color w:val="000000" w:themeColor="text1"/>
        </w:rPr>
        <w:t>om a existência do voto de auto-</w:t>
      </w:r>
      <w:r w:rsidRPr="00EF5CCC">
        <w:rPr>
          <w:rFonts w:cs="Arial"/>
          <w:color w:val="000000" w:themeColor="text1"/>
        </w:rPr>
        <w:t>exclusão</w:t>
      </w:r>
      <w:r w:rsidR="00FA3715" w:rsidRPr="00EF5CCC">
        <w:rPr>
          <w:rFonts w:cs="Arial"/>
          <w:color w:val="000000" w:themeColor="text1"/>
        </w:rPr>
        <w:t xml:space="preserve">, </w:t>
      </w:r>
      <w:r w:rsidRPr="00EF5CCC">
        <w:rPr>
          <w:rFonts w:cs="Arial"/>
          <w:color w:val="000000" w:themeColor="text1"/>
        </w:rPr>
        <w:t>pois</w:t>
      </w:r>
      <w:r>
        <w:rPr>
          <w:rFonts w:cs="Arial"/>
          <w:color w:val="FF0000"/>
        </w:rPr>
        <w:t xml:space="preserve"> </w:t>
      </w:r>
      <w:r w:rsidR="00FA3715" w:rsidRPr="005A7D1C">
        <w:rPr>
          <w:rFonts w:cs="Arial"/>
        </w:rPr>
        <w:t>pode</w:t>
      </w:r>
      <w:r>
        <w:rPr>
          <w:rFonts w:cs="Arial"/>
        </w:rPr>
        <w:t xml:space="preserve"> </w:t>
      </w:r>
      <w:r w:rsidR="00FA3715" w:rsidRPr="002F21CC">
        <w:rPr>
          <w:rFonts w:cs="Arial"/>
        </w:rPr>
        <w:t xml:space="preserve">haver a omissão </w:t>
      </w:r>
      <w:r w:rsidR="00A27D3C" w:rsidRPr="002F21CC">
        <w:rPr>
          <w:rFonts w:cs="Arial"/>
        </w:rPr>
        <w:t xml:space="preserve">(voluntária ou </w:t>
      </w:r>
      <w:r w:rsidR="007A7313" w:rsidRPr="002F21CC">
        <w:rPr>
          <w:rFonts w:cs="Arial"/>
        </w:rPr>
        <w:t>involuntária</w:t>
      </w:r>
      <w:r w:rsidR="00A27D3C" w:rsidRPr="002F21CC">
        <w:rPr>
          <w:rFonts w:cs="Arial"/>
        </w:rPr>
        <w:t>)</w:t>
      </w:r>
      <w:r w:rsidR="00A27D3C">
        <w:rPr>
          <w:rFonts w:cs="Arial"/>
        </w:rPr>
        <w:t xml:space="preserve"> </w:t>
      </w:r>
      <w:r w:rsidR="00FA3715" w:rsidRPr="002F21CC">
        <w:rPr>
          <w:rFonts w:cs="Arial"/>
        </w:rPr>
        <w:t xml:space="preserve">de fatos </w:t>
      </w:r>
      <w:r w:rsidR="00A75E5E" w:rsidRPr="000A4D92">
        <w:rPr>
          <w:rFonts w:cs="Arial"/>
        </w:rPr>
        <w:t>relevantes</w:t>
      </w:r>
      <w:r w:rsidR="00D10557" w:rsidRPr="000A4D92">
        <w:rPr>
          <w:rFonts w:cs="Arial"/>
        </w:rPr>
        <w:t xml:space="preserve"> como a doença crônica assintomática</w:t>
      </w:r>
      <w:r w:rsidR="00FA3715" w:rsidRPr="000A4D92">
        <w:rPr>
          <w:rFonts w:cs="Arial"/>
        </w:rPr>
        <w:t xml:space="preserve">.  </w:t>
      </w:r>
      <w:r w:rsidR="00D10557" w:rsidRPr="000A4D92">
        <w:rPr>
          <w:rFonts w:cs="Arial"/>
        </w:rPr>
        <w:t>Por esta razão é obrigatório a</w:t>
      </w:r>
      <w:r w:rsidR="00FA3715" w:rsidRPr="000A4D92">
        <w:rPr>
          <w:rFonts w:cs="Arial"/>
        </w:rPr>
        <w:t xml:space="preserve"> triagem sorológica das </w:t>
      </w:r>
      <w:r w:rsidR="00992212" w:rsidRPr="000A4D92">
        <w:rPr>
          <w:rFonts w:cs="Arial"/>
        </w:rPr>
        <w:t xml:space="preserve">doações </w:t>
      </w:r>
      <w:r w:rsidR="00B37200" w:rsidRPr="000A4D92">
        <w:rPr>
          <w:rFonts w:cs="Arial"/>
        </w:rPr>
        <w:t xml:space="preserve">com </w:t>
      </w:r>
      <w:r w:rsidR="00FA3715" w:rsidRPr="000A4D92">
        <w:rPr>
          <w:rFonts w:cs="Arial"/>
        </w:rPr>
        <w:lastRenderedPageBreak/>
        <w:t xml:space="preserve">testes de alta especificidade e sensibilidade, como o Enzyme Linked Immunosorbent Assay (ELISA), e a quimioluminescência </w:t>
      </w:r>
      <w:r w:rsidR="00B37200" w:rsidRPr="000A4D92">
        <w:rPr>
          <w:rFonts w:cs="Arial"/>
        </w:rPr>
        <w:t xml:space="preserve">que </w:t>
      </w:r>
      <w:r w:rsidR="00FA3715" w:rsidRPr="000A4D92">
        <w:rPr>
          <w:rFonts w:cs="Arial"/>
        </w:rPr>
        <w:t>são os mais utilizados nos serviços de</w:t>
      </w:r>
      <w:r w:rsidR="00FA3715" w:rsidRPr="00317DB4">
        <w:rPr>
          <w:rFonts w:cs="Arial"/>
        </w:rPr>
        <w:t xml:space="preserve"> hemoterapia, pois permitem boa reprodutibilidade, fácil execução e possibilidade</w:t>
      </w:r>
      <w:r w:rsidR="00FA3715" w:rsidRPr="002F21CC">
        <w:rPr>
          <w:rFonts w:cs="Arial"/>
        </w:rPr>
        <w:t xml:space="preserve"> de automação</w:t>
      </w:r>
      <w:r w:rsidR="00FA3715">
        <w:rPr>
          <w:rFonts w:cs="Arial"/>
        </w:rPr>
        <w:t xml:space="preserve"> (BRASIL, 2013a</w:t>
      </w:r>
      <w:r w:rsidR="00FA3715" w:rsidRPr="002F21CC">
        <w:rPr>
          <w:rFonts w:cs="Arial"/>
        </w:rPr>
        <w:t xml:space="preserve">; CARRAZONE, BRITO, GOMES </w:t>
      </w:r>
      <w:r w:rsidR="00FA3715" w:rsidRPr="002F21CC">
        <w:rPr>
          <w:rFonts w:cs="Arial"/>
          <w:i/>
        </w:rPr>
        <w:t xml:space="preserve">apud </w:t>
      </w:r>
      <w:r w:rsidR="00FA3715" w:rsidRPr="002F21CC">
        <w:rPr>
          <w:rFonts w:cs="Arial"/>
        </w:rPr>
        <w:t xml:space="preserve">AMADEI </w:t>
      </w:r>
      <w:r w:rsidR="00FA3715" w:rsidRPr="002F21CC">
        <w:rPr>
          <w:rFonts w:cs="Arial"/>
          <w:i/>
        </w:rPr>
        <w:t>et al</w:t>
      </w:r>
      <w:r w:rsidR="00FA3715" w:rsidRPr="002F21CC">
        <w:rPr>
          <w:rFonts w:cs="Arial"/>
        </w:rPr>
        <w:t>, 2011).</w:t>
      </w:r>
    </w:p>
    <w:p w:rsidR="00086918" w:rsidRPr="00133F0F" w:rsidRDefault="00992212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EF2B43">
        <w:rPr>
          <w:rFonts w:cs="Arial"/>
        </w:rPr>
        <w:t>D</w:t>
      </w:r>
      <w:r w:rsidR="00086918" w:rsidRPr="00EF2B43">
        <w:rPr>
          <w:rFonts w:cs="Arial"/>
        </w:rPr>
        <w:t xml:space="preserve">urante </w:t>
      </w:r>
      <w:r w:rsidR="00086918" w:rsidRPr="00EF5CCC">
        <w:rPr>
          <w:rFonts w:cs="Arial"/>
          <w:color w:val="000000" w:themeColor="text1"/>
        </w:rPr>
        <w:t xml:space="preserve">o curso de uma doença infecciosa, existe uma fase denominada de janela imunológica, termo que teve origem nos bancos de sangue durante estudos de infectividade do HIV por meio de transfusões </w:t>
      </w:r>
      <w:r w:rsidR="00D94D6A" w:rsidRPr="00EF5CCC">
        <w:rPr>
          <w:rFonts w:cs="Arial"/>
          <w:color w:val="000000" w:themeColor="text1"/>
        </w:rPr>
        <w:t>sanguíneas</w:t>
      </w:r>
      <w:r w:rsidR="00395859" w:rsidRPr="00EF5CCC">
        <w:rPr>
          <w:rFonts w:cs="Arial"/>
          <w:color w:val="000000" w:themeColor="text1"/>
        </w:rPr>
        <w:t>,</w:t>
      </w:r>
      <w:r w:rsidR="00086918" w:rsidRPr="00EF5CCC">
        <w:rPr>
          <w:rFonts w:cs="Arial"/>
          <w:color w:val="000000" w:themeColor="text1"/>
        </w:rPr>
        <w:t xml:space="preserve"> definida</w:t>
      </w:r>
      <w:r w:rsidR="00086918" w:rsidRPr="00133F0F">
        <w:rPr>
          <w:rFonts w:cs="Arial"/>
        </w:rPr>
        <w:t xml:space="preserve"> como o período onde não </w:t>
      </w:r>
      <w:r w:rsidR="000A4D92">
        <w:rPr>
          <w:rFonts w:cs="Arial"/>
        </w:rPr>
        <w:t>a</w:t>
      </w:r>
      <w:r w:rsidR="00086918" w:rsidRPr="00133F0F">
        <w:rPr>
          <w:rFonts w:cs="Arial"/>
        </w:rPr>
        <w:t xml:space="preserve"> presença de marcadores </w:t>
      </w:r>
      <w:r w:rsidR="00086918" w:rsidRPr="000A4D92">
        <w:rPr>
          <w:rFonts w:cs="Arial"/>
        </w:rPr>
        <w:t>sorológicos</w:t>
      </w:r>
      <w:r w:rsidRPr="000A4D92">
        <w:rPr>
          <w:rFonts w:cs="Arial"/>
        </w:rPr>
        <w:t xml:space="preserve"> é indetectável</w:t>
      </w:r>
      <w:r w:rsidR="00086918" w:rsidRPr="000A4D92">
        <w:rPr>
          <w:rFonts w:cs="Arial"/>
        </w:rPr>
        <w:t>, porém</w:t>
      </w:r>
      <w:r w:rsidR="00086918" w:rsidRPr="00133F0F">
        <w:rPr>
          <w:rFonts w:cs="Arial"/>
        </w:rPr>
        <w:t xml:space="preserve"> a carga viral está em níveis suficientes para que ocorra a transmissão</w:t>
      </w:r>
      <w:r>
        <w:rPr>
          <w:rFonts w:cs="Arial"/>
        </w:rPr>
        <w:t>.</w:t>
      </w:r>
      <w:r w:rsidR="00086918" w:rsidRPr="00133F0F">
        <w:rPr>
          <w:rFonts w:cs="Arial"/>
        </w:rPr>
        <w:t xml:space="preserve"> (BRASIL, 2009). </w:t>
      </w:r>
      <w:r w:rsidR="00086918" w:rsidRPr="00F71C43">
        <w:rPr>
          <w:rFonts w:cs="Arial"/>
        </w:rPr>
        <w:t xml:space="preserve">Esse período, anterior a </w:t>
      </w:r>
      <w:r w:rsidR="000552C8" w:rsidRPr="00F71C43">
        <w:rPr>
          <w:rFonts w:cs="Arial"/>
        </w:rPr>
        <w:t>soro conversão</w:t>
      </w:r>
      <w:r w:rsidR="00086918" w:rsidRPr="00F71C43">
        <w:rPr>
          <w:rFonts w:cs="Arial"/>
        </w:rPr>
        <w:t xml:space="preserve">, é responsável pela grande maioria </w:t>
      </w:r>
      <w:r w:rsidR="00086918" w:rsidRPr="00133F0F">
        <w:rPr>
          <w:rFonts w:cs="Arial"/>
        </w:rPr>
        <w:t xml:space="preserve">dos </w:t>
      </w:r>
      <w:r w:rsidR="00086918" w:rsidRPr="00F71C43">
        <w:rPr>
          <w:rFonts w:cs="Arial"/>
        </w:rPr>
        <w:t xml:space="preserve">falso-negativos e varia de acordo com o patógeno. O vírus HCV é o que possui uma janela imunológica mais longa, de </w:t>
      </w:r>
      <w:r w:rsidR="00086918" w:rsidRPr="00133F0F">
        <w:rPr>
          <w:rFonts w:cs="Arial"/>
        </w:rPr>
        <w:t>até</w:t>
      </w:r>
      <w:r w:rsidR="00086918" w:rsidRPr="00F71C43">
        <w:rPr>
          <w:rFonts w:cs="Arial"/>
        </w:rPr>
        <w:t xml:space="preserve"> 70 dias; em comparação, o HIV possui um período relativamente curto, de </w:t>
      </w:r>
      <w:r w:rsidR="00086918" w:rsidRPr="00133F0F">
        <w:rPr>
          <w:rFonts w:cs="Arial"/>
        </w:rPr>
        <w:t>aproximadamente</w:t>
      </w:r>
      <w:r w:rsidR="00086918" w:rsidRPr="00F71C43">
        <w:rPr>
          <w:rFonts w:cs="Arial"/>
        </w:rPr>
        <w:t xml:space="preserve"> </w:t>
      </w:r>
      <w:r w:rsidR="00086918" w:rsidRPr="00133F0F">
        <w:rPr>
          <w:rFonts w:cs="Arial"/>
        </w:rPr>
        <w:t xml:space="preserve">22 </w:t>
      </w:r>
      <w:r w:rsidR="00086918" w:rsidRPr="00F71C43">
        <w:rPr>
          <w:rFonts w:cs="Arial"/>
        </w:rPr>
        <w:t>dias</w:t>
      </w:r>
      <w:r w:rsidR="00086918" w:rsidRPr="00133F0F">
        <w:rPr>
          <w:rFonts w:cs="Arial"/>
        </w:rPr>
        <w:t xml:space="preserve"> (PINHO </w:t>
      </w:r>
      <w:r w:rsidR="00086918" w:rsidRPr="00EF20F5">
        <w:rPr>
          <w:rFonts w:cs="Arial"/>
          <w:i/>
        </w:rPr>
        <w:t>et al,</w:t>
      </w:r>
      <w:r w:rsidR="00086918" w:rsidRPr="00133F0F">
        <w:rPr>
          <w:rFonts w:cs="Arial"/>
        </w:rPr>
        <w:t xml:space="preserve"> 2000). </w:t>
      </w:r>
    </w:p>
    <w:p w:rsidR="00D94D6A" w:rsidRDefault="00992212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133F0F">
        <w:rPr>
          <w:rFonts w:cs="Arial"/>
        </w:rPr>
        <w:t xml:space="preserve">O exame sorológico </w:t>
      </w:r>
      <w:r w:rsidRPr="00B37200">
        <w:rPr>
          <w:rFonts w:cs="Arial"/>
        </w:rPr>
        <w:t>de</w:t>
      </w:r>
      <w:r w:rsidRPr="00133F0F">
        <w:rPr>
          <w:rFonts w:cs="Arial"/>
        </w:rPr>
        <w:t xml:space="preserve"> alta sensibilidade diminui a ocorrência de resultados falso</w:t>
      </w:r>
      <w:r w:rsidRPr="00F71C43">
        <w:rPr>
          <w:rFonts w:cs="Arial"/>
        </w:rPr>
        <w:t xml:space="preserve">-negativos, possibilitando maior </w:t>
      </w:r>
      <w:r w:rsidRPr="000A4D92">
        <w:rPr>
          <w:rFonts w:cs="Arial"/>
        </w:rPr>
        <w:t>segurança transfusional</w:t>
      </w:r>
      <w:r w:rsidRPr="00EF5CCC">
        <w:rPr>
          <w:rFonts w:cs="Arial"/>
          <w:color w:val="000000" w:themeColor="text1"/>
        </w:rPr>
        <w:t xml:space="preserve">. </w:t>
      </w:r>
      <w:r w:rsidR="002C3BC7" w:rsidRPr="000A4D92">
        <w:rPr>
          <w:rFonts w:cs="Arial"/>
        </w:rPr>
        <w:t xml:space="preserve">A portaria 2712 de </w:t>
      </w:r>
      <w:r w:rsidR="000A4D92">
        <w:rPr>
          <w:rFonts w:cs="Arial"/>
        </w:rPr>
        <w:t>2013 estabelece o NAT sendo que</w:t>
      </w:r>
      <w:r w:rsidR="000A4D92" w:rsidRPr="000A4D92">
        <w:rPr>
          <w:rFonts w:cs="Arial"/>
        </w:rPr>
        <w:t xml:space="preserve"> a</w:t>
      </w:r>
      <w:r w:rsidR="00D94D6A" w:rsidRPr="000A4D92">
        <w:rPr>
          <w:rFonts w:cs="Arial"/>
        </w:rPr>
        <w:t xml:space="preserve"> principal justificativa para sua implantação é o fato desta técnica reduzir o período de janela imunológica: para o HCV a diminuição </w:t>
      </w:r>
      <w:r w:rsidR="00D94D6A" w:rsidRPr="00604D63">
        <w:rPr>
          <w:rFonts w:cs="Arial"/>
        </w:rPr>
        <w:t>é altamente significativa, de 72%, passando a</w:t>
      </w:r>
      <w:r w:rsidR="002C3BC7">
        <w:rPr>
          <w:rFonts w:cs="Arial"/>
        </w:rPr>
        <w:t xml:space="preserve"> ser de aproximadamente 15 dias</w:t>
      </w:r>
      <w:r w:rsidR="002C3BC7" w:rsidRPr="000A4D92">
        <w:rPr>
          <w:rFonts w:cs="Arial"/>
        </w:rPr>
        <w:t>; e</w:t>
      </w:r>
      <w:r w:rsidR="00D94D6A" w:rsidRPr="00604D63">
        <w:rPr>
          <w:rFonts w:cs="Arial"/>
        </w:rPr>
        <w:t xml:space="preserve"> </w:t>
      </w:r>
      <w:r w:rsidR="002C3BC7">
        <w:rPr>
          <w:rFonts w:cs="Arial"/>
        </w:rPr>
        <w:t>p</w:t>
      </w:r>
      <w:r w:rsidR="00D94D6A" w:rsidRPr="00604D63">
        <w:rPr>
          <w:rFonts w:cs="Arial"/>
        </w:rPr>
        <w:t>ara o HIV, o decréscimo é de 50%, fazendo com que a janela imunológica seja de aproximadamente 10 dias</w:t>
      </w:r>
      <w:r w:rsidR="00D94D6A" w:rsidRPr="00133F0F">
        <w:rPr>
          <w:rFonts w:cs="Arial"/>
        </w:rPr>
        <w:t xml:space="preserve"> </w:t>
      </w:r>
      <w:r w:rsidR="00D94D6A" w:rsidRPr="00604D63">
        <w:rPr>
          <w:rFonts w:cs="Arial"/>
        </w:rPr>
        <w:t>(</w:t>
      </w:r>
      <w:r w:rsidRPr="00604D63">
        <w:rPr>
          <w:rFonts w:cs="Arial"/>
        </w:rPr>
        <w:t>BRASIL, 20</w:t>
      </w:r>
      <w:r>
        <w:rPr>
          <w:rFonts w:cs="Arial"/>
        </w:rPr>
        <w:t>09</w:t>
      </w:r>
      <w:r w:rsidRPr="00133F0F">
        <w:rPr>
          <w:rFonts w:cs="Arial"/>
        </w:rPr>
        <w:t xml:space="preserve">; </w:t>
      </w:r>
      <w:r w:rsidR="00D94D6A" w:rsidRPr="00604D63">
        <w:rPr>
          <w:rFonts w:cs="Arial"/>
        </w:rPr>
        <w:t>BRASIL, 2011</w:t>
      </w:r>
      <w:r w:rsidR="00D94D6A" w:rsidRPr="00133F0F">
        <w:rPr>
          <w:rFonts w:cs="Arial"/>
        </w:rPr>
        <w:t xml:space="preserve">; </w:t>
      </w:r>
      <w:r w:rsidR="00D94D6A" w:rsidRPr="00604D63">
        <w:rPr>
          <w:rFonts w:cs="Arial"/>
        </w:rPr>
        <w:t>BRASIL, 2013</w:t>
      </w:r>
      <w:r w:rsidR="00D94D6A" w:rsidRPr="00133F0F">
        <w:rPr>
          <w:rFonts w:cs="Arial"/>
        </w:rPr>
        <w:t xml:space="preserve">a; </w:t>
      </w:r>
      <w:r w:rsidR="00D94D6A" w:rsidRPr="00604D63">
        <w:rPr>
          <w:rFonts w:cs="Arial"/>
        </w:rPr>
        <w:t xml:space="preserve">PINHO </w:t>
      </w:r>
      <w:r w:rsidR="00D94D6A" w:rsidRPr="000A412F">
        <w:rPr>
          <w:rFonts w:cs="Arial"/>
          <w:i/>
        </w:rPr>
        <w:t>et al</w:t>
      </w:r>
      <w:r w:rsidR="00D94D6A" w:rsidRPr="00604D63">
        <w:rPr>
          <w:rFonts w:cs="Arial"/>
        </w:rPr>
        <w:t xml:space="preserve">, 2000).  </w:t>
      </w:r>
    </w:p>
    <w:p w:rsidR="000A4D92" w:rsidRDefault="000A4D92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0A4D92" w:rsidRPr="00133F0F" w:rsidRDefault="000A4D92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7C142A" w:rsidRDefault="007C142A" w:rsidP="006C48C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Método</w:t>
      </w:r>
    </w:p>
    <w:p w:rsidR="00C533EF" w:rsidRDefault="00C533EF" w:rsidP="0035616E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C533EF" w:rsidRDefault="00C533EF" w:rsidP="0035616E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C533EF" w:rsidRPr="005F7D1C" w:rsidRDefault="00C533EF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2F21CC">
        <w:rPr>
          <w:rFonts w:cs="Arial"/>
          <w:color w:val="000000"/>
        </w:rPr>
        <w:t>Para</w:t>
      </w:r>
      <w:r w:rsidRPr="002F21CC">
        <w:rPr>
          <w:rFonts w:cs="Arial"/>
        </w:rPr>
        <w:t xml:space="preserve"> o desenvolvimento deste estudo foi realizada uma pesquisa quantit</w:t>
      </w:r>
      <w:r>
        <w:rPr>
          <w:rFonts w:cs="Arial"/>
        </w:rPr>
        <w:t>ativa documental retrospectiva,</w:t>
      </w:r>
      <w:r w:rsidRPr="002F21CC">
        <w:rPr>
          <w:rFonts w:cs="Arial"/>
        </w:rPr>
        <w:t xml:space="preserve"> através de dados de arquivos e sistemas, após aprovado pelo Comitê de Ética em Pesquisa das Faculdades Pequeno Príncipe</w:t>
      </w:r>
      <w:r>
        <w:rPr>
          <w:rFonts w:cs="Arial"/>
        </w:rPr>
        <w:t xml:space="preserve"> </w:t>
      </w:r>
      <w:r w:rsidRPr="00E131D0">
        <w:rPr>
          <w:rFonts w:cs="Arial"/>
        </w:rPr>
        <w:t>(</w:t>
      </w:r>
      <w:r w:rsidR="00A75E5E" w:rsidRPr="0085626D">
        <w:rPr>
          <w:rFonts w:cs="Arial"/>
        </w:rPr>
        <w:t>Parecer 789785</w:t>
      </w:r>
      <w:r w:rsidRPr="00E131D0">
        <w:rPr>
          <w:rFonts w:cs="Arial"/>
        </w:rPr>
        <w:t>).</w:t>
      </w:r>
      <w:r w:rsidR="005F7D1C">
        <w:rPr>
          <w:rFonts w:cs="Arial"/>
        </w:rPr>
        <w:t xml:space="preserve"> </w:t>
      </w:r>
      <w:r w:rsidRPr="001F3784">
        <w:rPr>
          <w:rFonts w:cs="Arial"/>
        </w:rPr>
        <w:t xml:space="preserve">Os dados utilizados para o desenvolvimento desta pesquisa </w:t>
      </w:r>
      <w:r w:rsidRPr="0071208B">
        <w:rPr>
          <w:rFonts w:cs="Arial"/>
        </w:rPr>
        <w:t xml:space="preserve">foram </w:t>
      </w:r>
      <w:r w:rsidRPr="001F3784">
        <w:rPr>
          <w:rFonts w:cs="Arial"/>
        </w:rPr>
        <w:t xml:space="preserve">obtidos a partir do Sistema Hemovida </w:t>
      </w:r>
      <w:r w:rsidR="00FA3715">
        <w:rPr>
          <w:rFonts w:cs="Arial"/>
        </w:rPr>
        <w:t xml:space="preserve">do HEMEPAR Curitiba e foram </w:t>
      </w:r>
      <w:r w:rsidR="00D10557" w:rsidRPr="000A4D92">
        <w:rPr>
          <w:rFonts w:cs="Arial"/>
        </w:rPr>
        <w:t>organizados</w:t>
      </w:r>
      <w:r w:rsidR="00D10557">
        <w:rPr>
          <w:rFonts w:cs="Arial"/>
          <w:color w:val="FF0000"/>
        </w:rPr>
        <w:t xml:space="preserve"> </w:t>
      </w:r>
      <w:r w:rsidRPr="001F3784">
        <w:rPr>
          <w:rFonts w:cs="Arial"/>
        </w:rPr>
        <w:t>através de planilhas do EXCEL</w:t>
      </w:r>
      <w:r>
        <w:rPr>
          <w:rFonts w:cs="Arial"/>
        </w:rPr>
        <w:t>,</w:t>
      </w:r>
      <w:r w:rsidRPr="001F3784">
        <w:rPr>
          <w:rFonts w:cs="Arial"/>
        </w:rPr>
        <w:t xml:space="preserve"> para facilitar a interpretação</w:t>
      </w:r>
      <w:r>
        <w:rPr>
          <w:rFonts w:cs="Arial"/>
        </w:rPr>
        <w:t>,</w:t>
      </w:r>
      <w:r w:rsidRPr="001F3784">
        <w:rPr>
          <w:rFonts w:cs="Arial"/>
        </w:rPr>
        <w:t xml:space="preserve"> e do programa livre EPI Info versão 3.0</w:t>
      </w:r>
      <w:r>
        <w:rPr>
          <w:rFonts w:cs="Arial"/>
        </w:rPr>
        <w:t>3</w:t>
      </w:r>
      <w:r w:rsidRPr="001F3784">
        <w:rPr>
          <w:rFonts w:cs="Arial"/>
        </w:rPr>
        <w:t xml:space="preserve"> (do CDC, endereço </w:t>
      </w:r>
      <w:hyperlink r:id="rId9" w:history="1">
        <w:r w:rsidRPr="00673191">
          <w:rPr>
            <w:rStyle w:val="Hyperlink"/>
            <w:rFonts w:cs="Arial"/>
          </w:rPr>
          <w:t>http://www.openepi.com/Menu/OE_Menu.htm</w:t>
        </w:r>
      </w:hyperlink>
      <w:r>
        <w:rPr>
          <w:rFonts w:cs="Arial"/>
        </w:rPr>
        <w:t>)</w:t>
      </w:r>
      <w:r w:rsidR="000A4D92">
        <w:rPr>
          <w:rFonts w:cs="Arial"/>
        </w:rPr>
        <w:t xml:space="preserve">. </w:t>
      </w:r>
      <w:r w:rsidR="00E944FE">
        <w:rPr>
          <w:rFonts w:cs="Arial"/>
        </w:rPr>
        <w:t xml:space="preserve">Para </w:t>
      </w:r>
      <w:r w:rsidR="00E944FE">
        <w:rPr>
          <w:rFonts w:cs="Arial"/>
        </w:rPr>
        <w:lastRenderedPageBreak/>
        <w:t xml:space="preserve">a </w:t>
      </w:r>
      <w:r w:rsidR="00D10557" w:rsidRPr="000A4D92">
        <w:rPr>
          <w:rFonts w:cs="Arial"/>
        </w:rPr>
        <w:t>análi</w:t>
      </w:r>
      <w:r w:rsidR="00992212" w:rsidRPr="000A4D92">
        <w:rPr>
          <w:rFonts w:cs="Arial"/>
        </w:rPr>
        <w:t>s</w:t>
      </w:r>
      <w:r w:rsidR="00D10557" w:rsidRPr="000A4D92">
        <w:rPr>
          <w:rFonts w:cs="Arial"/>
        </w:rPr>
        <w:t>e d</w:t>
      </w:r>
      <w:r w:rsidR="00FA3715" w:rsidRPr="000A4D92">
        <w:rPr>
          <w:rFonts w:cs="Arial"/>
        </w:rPr>
        <w:t xml:space="preserve">esses dados </w:t>
      </w:r>
      <w:r w:rsidR="00A75E5E" w:rsidRPr="000A4D92">
        <w:rPr>
          <w:rFonts w:cs="Arial"/>
        </w:rPr>
        <w:t>foram</w:t>
      </w:r>
      <w:r w:rsidR="00FA3715" w:rsidRPr="000A4D92">
        <w:rPr>
          <w:rFonts w:cs="Arial"/>
        </w:rPr>
        <w:t xml:space="preserve"> utiliza</w:t>
      </w:r>
      <w:r w:rsidR="000219DA" w:rsidRPr="000A4D92">
        <w:rPr>
          <w:rFonts w:cs="Arial"/>
        </w:rPr>
        <w:t>dos cálculos de proporção e Qui-</w:t>
      </w:r>
      <w:r w:rsidR="00FA3715" w:rsidRPr="000A4D92">
        <w:rPr>
          <w:rFonts w:cs="Arial"/>
        </w:rPr>
        <w:t>Quadrados</w:t>
      </w:r>
      <w:r w:rsidR="00FA3715" w:rsidRPr="00620751">
        <w:rPr>
          <w:rFonts w:cs="Arial"/>
        </w:rPr>
        <w:t xml:space="preserve"> relacionando em tabelas de referência cruzada a detecção de sorologias e de NAT reagentes para Hepatite C e HI</w:t>
      </w:r>
      <w:r w:rsidR="00044468">
        <w:rPr>
          <w:rFonts w:cs="Arial"/>
        </w:rPr>
        <w:t xml:space="preserve">V em conjunto e separadamente. </w:t>
      </w:r>
    </w:p>
    <w:p w:rsidR="00C533EF" w:rsidRDefault="00C533EF" w:rsidP="006C48C9">
      <w:pPr>
        <w:spacing w:line="360" w:lineRule="auto"/>
        <w:ind w:firstLine="709"/>
        <w:rPr>
          <w:rFonts w:ascii="Arial" w:hAnsi="Arial" w:cs="Arial"/>
        </w:rPr>
      </w:pPr>
    </w:p>
    <w:p w:rsidR="00C533EF" w:rsidRPr="00C533EF" w:rsidRDefault="00C533EF" w:rsidP="006C48C9">
      <w:pPr>
        <w:spacing w:line="360" w:lineRule="auto"/>
        <w:ind w:firstLine="709"/>
        <w:rPr>
          <w:rFonts w:ascii="Arial" w:hAnsi="Arial" w:cs="Arial"/>
        </w:rPr>
      </w:pPr>
    </w:p>
    <w:p w:rsidR="007C142A" w:rsidRDefault="007C142A" w:rsidP="006C48C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Resultados</w:t>
      </w:r>
    </w:p>
    <w:p w:rsidR="00F35E89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35E89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35E89" w:rsidRPr="00BC5E27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BC5E27">
        <w:rPr>
          <w:rFonts w:cs="Arial"/>
        </w:rPr>
        <w:t>Foram coletadas informações referentes a resultados de sorologia e NAT, para HIV e HCV, de</w:t>
      </w:r>
      <w:r w:rsidRPr="00044468">
        <w:rPr>
          <w:rFonts w:cs="Arial"/>
        </w:rPr>
        <w:t xml:space="preserve"> </w:t>
      </w:r>
      <w:r w:rsidR="000552C8" w:rsidRPr="00044468">
        <w:rPr>
          <w:rFonts w:cs="Arial"/>
        </w:rPr>
        <w:t>doações</w:t>
      </w:r>
      <w:r w:rsidR="000552C8">
        <w:rPr>
          <w:rFonts w:cs="Arial"/>
          <w:color w:val="FF0000"/>
        </w:rPr>
        <w:t xml:space="preserve"> </w:t>
      </w:r>
      <w:r w:rsidRPr="00BC5E27">
        <w:rPr>
          <w:rFonts w:cs="Arial"/>
        </w:rPr>
        <w:t xml:space="preserve">do dia 1º de outubro de 2012 à 31 de julho de 2014 do </w:t>
      </w:r>
      <w:r w:rsidR="00587CFB" w:rsidRPr="00317DB4">
        <w:rPr>
          <w:rFonts w:cs="Arial"/>
        </w:rPr>
        <w:t>Hemepar</w:t>
      </w:r>
      <w:r w:rsidRPr="00317DB4">
        <w:rPr>
          <w:rFonts w:cs="Arial"/>
        </w:rPr>
        <w:t xml:space="preserve"> (tabela</w:t>
      </w:r>
      <w:r w:rsidRPr="0085626D">
        <w:rPr>
          <w:rFonts w:cs="Arial"/>
        </w:rPr>
        <w:t xml:space="preserve"> 1).</w:t>
      </w:r>
    </w:p>
    <w:p w:rsidR="00144122" w:rsidRPr="00E944FE" w:rsidRDefault="00144122" w:rsidP="00E944FE">
      <w:pPr>
        <w:pStyle w:val="Recuodecorpodetexto"/>
        <w:tabs>
          <w:tab w:val="num" w:pos="284"/>
        </w:tabs>
        <w:spacing w:line="240" w:lineRule="auto"/>
        <w:ind w:firstLine="709"/>
        <w:rPr>
          <w:rFonts w:cs="Arial"/>
        </w:rPr>
      </w:pPr>
    </w:p>
    <w:p w:rsidR="00F35E89" w:rsidRPr="00545D0D" w:rsidRDefault="00F35E89" w:rsidP="009D13A5">
      <w:pPr>
        <w:rPr>
          <w:sz w:val="20"/>
          <w:szCs w:val="20"/>
        </w:rPr>
      </w:pPr>
      <w:r w:rsidRPr="00545D0D">
        <w:rPr>
          <w:rFonts w:ascii="Arial" w:hAnsi="Arial" w:cs="Arial"/>
          <w:sz w:val="20"/>
          <w:szCs w:val="20"/>
        </w:rPr>
        <w:t>TABELA 1: RELAÇÃO DE DADOS DE SOROLOGIA E NAT DE 01/10/2012 E 31/07/2014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133"/>
        <w:gridCol w:w="1005"/>
        <w:gridCol w:w="1031"/>
        <w:gridCol w:w="906"/>
      </w:tblGrid>
      <w:tr w:rsidR="00F35E89" w:rsidRPr="00545D0D" w:rsidTr="00055257">
        <w:trPr>
          <w:trHeight w:val="283"/>
        </w:trPr>
        <w:tc>
          <w:tcPr>
            <w:tcW w:w="280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35E89" w:rsidRPr="00545D0D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F35E89" w:rsidRPr="00545D0D" w:rsidRDefault="00F35E89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HCV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F35E89" w:rsidRPr="00545D0D" w:rsidRDefault="00F35E89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HIV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vMerge/>
            <w:tcBorders>
              <w:left w:val="nil"/>
              <w:bottom w:val="nil"/>
              <w:right w:val="nil"/>
            </w:tcBorders>
          </w:tcPr>
          <w:p w:rsidR="00F35E89" w:rsidRPr="00545D0D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1" w:type="pct"/>
            <w:tcBorders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TOTAL DE DOAÇÕES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200.204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200.204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DOAÇÕES COM SOROLOGIA REAGENTE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0,239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DOAÇÕES COM NAT REAGENTE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DOAÇÕES COM SOROLOGIA E NAT REAGENTES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DOAÇÕES SOMENTE COM NAT REAGENTE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</w:tr>
      <w:tr w:rsidR="00F35E89" w:rsidRPr="00545D0D" w:rsidTr="00055257">
        <w:trPr>
          <w:trHeight w:val="283"/>
        </w:trPr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545D0D" w:rsidRDefault="00F35E89" w:rsidP="009D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0D">
              <w:rPr>
                <w:rFonts w:ascii="Arial" w:hAnsi="Arial" w:cs="Arial"/>
                <w:sz w:val="20"/>
                <w:szCs w:val="20"/>
              </w:rPr>
              <w:t>DOAÇÕES NÃO REAGENTES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199.566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545D0D" w:rsidRDefault="00F35E89" w:rsidP="009D13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99,760</w:t>
            </w:r>
          </w:p>
        </w:tc>
      </w:tr>
    </w:tbl>
    <w:p w:rsidR="00F35E89" w:rsidRPr="00D43C30" w:rsidRDefault="00F35E89" w:rsidP="009D13A5">
      <w:pPr>
        <w:pStyle w:val="Recuodecorpodetexto"/>
        <w:tabs>
          <w:tab w:val="num" w:pos="284"/>
        </w:tabs>
        <w:spacing w:line="240" w:lineRule="auto"/>
        <w:ind w:firstLine="0"/>
        <w:rPr>
          <w:rFonts w:cs="Arial"/>
          <w:sz w:val="20"/>
          <w:szCs w:val="20"/>
        </w:rPr>
      </w:pPr>
      <w:r w:rsidRPr="00D43C30">
        <w:rPr>
          <w:rFonts w:cs="Arial"/>
          <w:sz w:val="20"/>
          <w:szCs w:val="20"/>
        </w:rPr>
        <w:t>Fonte: DADOS TRABALHADOS PELA AUTORA</w:t>
      </w:r>
    </w:p>
    <w:p w:rsidR="001F19F1" w:rsidRDefault="001F19F1" w:rsidP="00E944FE">
      <w:pPr>
        <w:pStyle w:val="Recuodecorpodetexto"/>
        <w:tabs>
          <w:tab w:val="num" w:pos="284"/>
        </w:tabs>
        <w:ind w:firstLine="709"/>
        <w:rPr>
          <w:rFonts w:cs="Arial"/>
        </w:rPr>
      </w:pPr>
    </w:p>
    <w:p w:rsidR="00E944FE" w:rsidRDefault="00F35E89" w:rsidP="001F19F1">
      <w:pPr>
        <w:pStyle w:val="Recuodecorpodetexto"/>
        <w:tabs>
          <w:tab w:val="num" w:pos="284"/>
        </w:tabs>
        <w:ind w:firstLine="709"/>
        <w:rPr>
          <w:rFonts w:cs="Arial"/>
        </w:rPr>
      </w:pPr>
      <w:r>
        <w:rPr>
          <w:rFonts w:cs="Arial"/>
        </w:rPr>
        <w:t xml:space="preserve"> O </w:t>
      </w:r>
      <w:r w:rsidRPr="00044468">
        <w:rPr>
          <w:rFonts w:cs="Arial"/>
        </w:rPr>
        <w:t xml:space="preserve">período </w:t>
      </w:r>
      <w:r w:rsidR="00144122" w:rsidRPr="00044468">
        <w:rPr>
          <w:rFonts w:cs="Arial"/>
        </w:rPr>
        <w:t>d</w:t>
      </w:r>
      <w:r w:rsidR="00C8770E" w:rsidRPr="00044468">
        <w:rPr>
          <w:rFonts w:cs="Arial"/>
        </w:rPr>
        <w:t xml:space="preserve">a coleta de dados </w:t>
      </w:r>
      <w:r w:rsidR="000552C8" w:rsidRPr="00044468">
        <w:rPr>
          <w:rFonts w:cs="Arial"/>
        </w:rPr>
        <w:t xml:space="preserve">foi </w:t>
      </w:r>
      <w:r w:rsidR="00C8770E" w:rsidRPr="00044468">
        <w:rPr>
          <w:rFonts w:cs="Arial"/>
        </w:rPr>
        <w:t>subdividido</w:t>
      </w:r>
      <w:r w:rsidRPr="00044468">
        <w:rPr>
          <w:rFonts w:cs="Arial"/>
        </w:rPr>
        <w:t xml:space="preserve"> em dois, baseando-se nos exames sorológicos que eram utilizados. No período 1, entre de 1º de outubro de 2012 à 29 de julho de 2013 </w:t>
      </w:r>
      <w:r w:rsidR="000552C8" w:rsidRPr="00044468">
        <w:rPr>
          <w:rFonts w:cs="Arial"/>
        </w:rPr>
        <w:t>foram utilizados</w:t>
      </w:r>
      <w:r w:rsidRPr="00044468">
        <w:rPr>
          <w:rFonts w:cs="Arial"/>
        </w:rPr>
        <w:t xml:space="preserve"> dois testes sorológicos para HIV, ELISA de 3ª geração para detecção de anticorpos e quimioluminescência para detecção de anticorpos e antígeno p24; e um para o HCV o </w:t>
      </w:r>
      <w:r w:rsidR="00144122" w:rsidRPr="00044468">
        <w:rPr>
          <w:rFonts w:cs="Arial"/>
        </w:rPr>
        <w:t>ELISA de</w:t>
      </w:r>
      <w:r w:rsidRPr="00044468">
        <w:rPr>
          <w:rFonts w:cs="Arial"/>
        </w:rPr>
        <w:t xml:space="preserve"> 3ª geração para detecção de anticorpos.  </w:t>
      </w:r>
      <w:r w:rsidR="000552C8" w:rsidRPr="00044468">
        <w:rPr>
          <w:rFonts w:cs="Arial"/>
        </w:rPr>
        <w:t>No</w:t>
      </w:r>
      <w:r w:rsidRPr="00044468">
        <w:rPr>
          <w:rFonts w:cs="Arial"/>
        </w:rPr>
        <w:t xml:space="preserve"> período 2, </w:t>
      </w:r>
      <w:r w:rsidR="00144122" w:rsidRPr="00044468">
        <w:rPr>
          <w:rFonts w:cs="Arial"/>
        </w:rPr>
        <w:t>iniciado</w:t>
      </w:r>
      <w:r w:rsidRPr="00044468">
        <w:rPr>
          <w:rFonts w:cs="Arial"/>
        </w:rPr>
        <w:t xml:space="preserve"> </w:t>
      </w:r>
      <w:r w:rsidR="007A7313" w:rsidRPr="00044468">
        <w:rPr>
          <w:rFonts w:cs="Arial"/>
        </w:rPr>
        <w:t xml:space="preserve">em </w:t>
      </w:r>
      <w:r w:rsidRPr="00044468">
        <w:rPr>
          <w:rFonts w:cs="Arial"/>
        </w:rPr>
        <w:t>31 de julho de 2013   para o HIV, o ELISA foi substituído pela quimioluminescência, se mantendo o princípio da detecção somente d</w:t>
      </w:r>
      <w:r w:rsidR="000552C8" w:rsidRPr="00044468">
        <w:rPr>
          <w:rFonts w:cs="Arial"/>
        </w:rPr>
        <w:t>o</w:t>
      </w:r>
      <w:r w:rsidRPr="00044468">
        <w:rPr>
          <w:rFonts w:cs="Arial"/>
        </w:rPr>
        <w:t xml:space="preserve"> anticorpo e o teste de detecção combinada (Ac+p24) se manteve. Para o HCV, o ELISA foi </w:t>
      </w:r>
      <w:r w:rsidR="00F92D04" w:rsidRPr="00044468">
        <w:rPr>
          <w:rFonts w:cs="Arial"/>
        </w:rPr>
        <w:t>substituído</w:t>
      </w:r>
      <w:r w:rsidRPr="00044468">
        <w:rPr>
          <w:rFonts w:cs="Arial"/>
        </w:rPr>
        <w:t xml:space="preserve"> pela quimioluminescência</w:t>
      </w:r>
      <w:r w:rsidR="002B55CF" w:rsidRPr="00044468">
        <w:rPr>
          <w:rFonts w:cs="Arial"/>
        </w:rPr>
        <w:t xml:space="preserve"> </w:t>
      </w:r>
      <w:r w:rsidR="004A61FC" w:rsidRPr="00044468">
        <w:rPr>
          <w:rFonts w:cs="Arial"/>
        </w:rPr>
        <w:t xml:space="preserve">(HIV AG/ AB COMBO, 2013; </w:t>
      </w:r>
      <w:r w:rsidR="00D02FAB" w:rsidRPr="00044468">
        <w:rPr>
          <w:rFonts w:eastAsia="Calibri" w:cs="Arial"/>
        </w:rPr>
        <w:t>MUREX ANTI- HCV, 2007; MUREX HIV 1.2.O</w:t>
      </w:r>
      <w:r w:rsidR="00144122" w:rsidRPr="00044468">
        <w:rPr>
          <w:rFonts w:eastAsia="Calibri" w:cs="Arial"/>
        </w:rPr>
        <w:t>, 2007; SIEMENS</w:t>
      </w:r>
      <w:r w:rsidR="00144122">
        <w:rPr>
          <w:rFonts w:eastAsia="Calibri" w:cs="Arial"/>
        </w:rPr>
        <w:t>,</w:t>
      </w:r>
      <w:r w:rsidR="007A7313">
        <w:rPr>
          <w:rFonts w:eastAsia="Calibri" w:cs="Arial"/>
        </w:rPr>
        <w:t xml:space="preserve"> </w:t>
      </w:r>
      <w:r w:rsidR="00144122">
        <w:rPr>
          <w:rFonts w:eastAsia="Calibri" w:cs="Arial"/>
        </w:rPr>
        <w:t>sd).</w:t>
      </w:r>
      <w:r w:rsidR="00E944FE" w:rsidRPr="00E944FE">
        <w:rPr>
          <w:rFonts w:cs="Arial"/>
        </w:rPr>
        <w:t xml:space="preserve"> </w:t>
      </w:r>
    </w:p>
    <w:p w:rsidR="00E944FE" w:rsidRPr="00C24B92" w:rsidRDefault="00E944FE" w:rsidP="00E944FE">
      <w:pPr>
        <w:pStyle w:val="Recuodecorpodetexto"/>
        <w:tabs>
          <w:tab w:val="num" w:pos="284"/>
        </w:tabs>
        <w:ind w:firstLine="709"/>
        <w:rPr>
          <w:rFonts w:cs="Arial"/>
          <w:color w:val="000000"/>
        </w:rPr>
      </w:pPr>
      <w:r w:rsidRPr="00FE52C4">
        <w:rPr>
          <w:rFonts w:cs="Arial"/>
        </w:rPr>
        <w:t>No período 1, para HIV,</w:t>
      </w:r>
      <w:r>
        <w:rPr>
          <w:rFonts w:cs="Arial"/>
          <w:color w:val="1F497D"/>
        </w:rPr>
        <w:t xml:space="preserve"> </w:t>
      </w:r>
      <w:r w:rsidRPr="00101B82">
        <w:rPr>
          <w:rFonts w:cs="Arial"/>
        </w:rPr>
        <w:t xml:space="preserve">do total de amostras reagentes (n=479), 46,1% (n=221) foi reagente somente no ELISA, 7,7% (n=37) somente na quimioluminescência Ac+p24 e </w:t>
      </w:r>
      <w:r w:rsidRPr="00C24B92">
        <w:rPr>
          <w:rFonts w:cs="Arial"/>
          <w:color w:val="000000"/>
        </w:rPr>
        <w:t>8,4%</w:t>
      </w:r>
      <w:r w:rsidRPr="00101B82">
        <w:rPr>
          <w:rFonts w:cs="Arial"/>
        </w:rPr>
        <w:t xml:space="preserve"> (n=40) foram reagentes s</w:t>
      </w:r>
      <w:r>
        <w:rPr>
          <w:rFonts w:cs="Arial"/>
        </w:rPr>
        <w:t xml:space="preserve">imultaneamente nos dois exames.  </w:t>
      </w:r>
      <w:r w:rsidRPr="00FE52C4">
        <w:rPr>
          <w:rFonts w:cs="Arial"/>
        </w:rPr>
        <w:t>No período 2 das</w:t>
      </w:r>
      <w:r w:rsidRPr="00101B82">
        <w:rPr>
          <w:rFonts w:cs="Arial"/>
        </w:rPr>
        <w:t xml:space="preserve"> 479 amostras reagentes, tem-se 17,7% (n=85) </w:t>
      </w:r>
      <w:r w:rsidRPr="00101B82">
        <w:rPr>
          <w:rFonts w:cs="Arial"/>
        </w:rPr>
        <w:lastRenderedPageBreak/>
        <w:t xml:space="preserve">positivas somente na quimioluminescência para anticorpos, 14,2% (n=68) positivas somente para quimioluminescência de detecção combinada </w:t>
      </w:r>
      <w:r>
        <w:rPr>
          <w:rFonts w:cs="Arial"/>
          <w:color w:val="000000"/>
        </w:rPr>
        <w:t>e 5,9% (n=28) (tabela 2). Já p</w:t>
      </w:r>
      <w:r w:rsidRPr="00C24B92">
        <w:rPr>
          <w:rFonts w:cs="Arial"/>
          <w:color w:val="000000"/>
        </w:rPr>
        <w:t>ara o HCV, do total de amostras reagentes, (n=638), 37,5% (n=239) foram reagentes no ELISA (período 1) e 62,5% (n=399) foram reagentes na quimioluminescência (período 2) (tabela 2).</w:t>
      </w:r>
    </w:p>
    <w:p w:rsidR="00F35E89" w:rsidRDefault="00F35E89" w:rsidP="00B010F3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F35E89" w:rsidRPr="00A72DD8" w:rsidRDefault="00F35E89" w:rsidP="009D13A5">
      <w:pPr>
        <w:rPr>
          <w:rFonts w:ascii="Arial" w:hAnsi="Arial" w:cs="Arial"/>
          <w:sz w:val="20"/>
          <w:szCs w:val="20"/>
        </w:rPr>
      </w:pPr>
      <w:r w:rsidRPr="00A72DD8">
        <w:rPr>
          <w:rFonts w:ascii="Arial" w:hAnsi="Arial" w:cs="Arial"/>
          <w:sz w:val="20"/>
          <w:szCs w:val="20"/>
        </w:rPr>
        <w:t>TABELA 2: AMOSTRAS REAGENTES PARA HIV E HCV NAS TÉCNICAS SOROLÓGICAS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250"/>
        <w:gridCol w:w="1443"/>
        <w:gridCol w:w="2126"/>
      </w:tblGrid>
      <w:tr w:rsidR="009D13A5" w:rsidRPr="00132579" w:rsidTr="0017278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A5" w:rsidRPr="00132579" w:rsidRDefault="009D13A5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EXAME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A5" w:rsidRPr="00132579" w:rsidRDefault="009D13A5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METODOLOGIA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A5" w:rsidRPr="00132579" w:rsidRDefault="009D13A5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3A5" w:rsidRPr="00132579" w:rsidRDefault="009D13A5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AMOSTRAS REAGENTES</w:t>
            </w:r>
          </w:p>
        </w:tc>
      </w:tr>
      <w:tr w:rsidR="00F35E89" w:rsidRPr="00132579" w:rsidTr="00055257">
        <w:trPr>
          <w:trHeight w:val="248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35E89" w:rsidRPr="00132579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35E89" w:rsidRPr="00132579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35E89" w:rsidRPr="00132579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F35E89" w:rsidRPr="00132579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E89" w:rsidRPr="00132579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4641A8" w:rsidRPr="00132579" w:rsidTr="004641A8">
        <w:trPr>
          <w:trHeight w:val="188"/>
        </w:trPr>
        <w:tc>
          <w:tcPr>
            <w:tcW w:w="1101" w:type="dxa"/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 xml:space="preserve">HIV </w:t>
            </w:r>
            <w:r w:rsidR="001F19F1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ELISA (Ac)+ QUIMIO (Ac+p24)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C24B92">
              <w:rPr>
                <w:rFonts w:cs="Arial"/>
                <w:color w:val="000000"/>
                <w:sz w:val="20"/>
                <w:szCs w:val="20"/>
              </w:rPr>
              <w:t>,4</w:t>
            </w:r>
          </w:p>
        </w:tc>
      </w:tr>
      <w:tr w:rsidR="004641A8" w:rsidRPr="00132579" w:rsidTr="004641A8">
        <w:trPr>
          <w:trHeight w:val="280"/>
        </w:trPr>
        <w:tc>
          <w:tcPr>
            <w:tcW w:w="1101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Somente ELISA (Ac)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4B92">
              <w:rPr>
                <w:rFonts w:cs="Arial"/>
                <w:color w:val="000000"/>
                <w:sz w:val="20"/>
                <w:szCs w:val="20"/>
              </w:rPr>
              <w:t>46,1</w:t>
            </w:r>
          </w:p>
        </w:tc>
      </w:tr>
      <w:tr w:rsidR="004641A8" w:rsidRPr="00132579" w:rsidTr="004641A8">
        <w:trPr>
          <w:trHeight w:val="280"/>
        </w:trPr>
        <w:tc>
          <w:tcPr>
            <w:tcW w:w="1101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Somente QUIMIO (Ac+ p24)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vAlign w:val="center"/>
          </w:tcPr>
          <w:p w:rsidR="004641A8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4641A8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4B92">
              <w:rPr>
                <w:rFonts w:cs="Arial"/>
                <w:color w:val="000000"/>
                <w:sz w:val="20"/>
                <w:szCs w:val="20"/>
              </w:rPr>
              <w:t>7,7</w:t>
            </w:r>
          </w:p>
        </w:tc>
      </w:tr>
      <w:tr w:rsidR="004641A8" w:rsidRPr="00132579" w:rsidTr="004641A8">
        <w:tc>
          <w:tcPr>
            <w:tcW w:w="1101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QUIMIO(Ac)+ QUIMIO</w:t>
            </w:r>
            <w:r w:rsidR="00144122">
              <w:rPr>
                <w:rFonts w:cs="Arial"/>
                <w:sz w:val="20"/>
                <w:szCs w:val="20"/>
              </w:rPr>
              <w:t xml:space="preserve"> </w:t>
            </w:r>
            <w:r w:rsidRPr="00132579">
              <w:rPr>
                <w:rFonts w:cs="Arial"/>
                <w:sz w:val="20"/>
                <w:szCs w:val="20"/>
              </w:rPr>
              <w:t>(Ac+ p24)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4B92">
              <w:rPr>
                <w:rFonts w:cs="Arial"/>
                <w:color w:val="000000"/>
                <w:sz w:val="20"/>
                <w:szCs w:val="20"/>
              </w:rPr>
              <w:t>5,9</w:t>
            </w:r>
          </w:p>
        </w:tc>
      </w:tr>
      <w:tr w:rsidR="004641A8" w:rsidRPr="00132579" w:rsidTr="004641A8">
        <w:tc>
          <w:tcPr>
            <w:tcW w:w="1101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Somente QUIMIO (Ac)</w:t>
            </w:r>
          </w:p>
        </w:tc>
        <w:tc>
          <w:tcPr>
            <w:tcW w:w="1250" w:type="dxa"/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2126" w:type="dxa"/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17,7</w:t>
            </w:r>
          </w:p>
        </w:tc>
      </w:tr>
      <w:tr w:rsidR="004641A8" w:rsidRPr="00132579" w:rsidTr="004641A8">
        <w:tc>
          <w:tcPr>
            <w:tcW w:w="1101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Somente QUIMIO (Ac+ p24)</w:t>
            </w:r>
          </w:p>
        </w:tc>
        <w:tc>
          <w:tcPr>
            <w:tcW w:w="1250" w:type="dxa"/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14,2</w:t>
            </w:r>
          </w:p>
        </w:tc>
      </w:tr>
      <w:tr w:rsidR="004641A8" w:rsidRPr="00132579" w:rsidTr="004641A8">
        <w:trPr>
          <w:trHeight w:val="254"/>
        </w:trPr>
        <w:tc>
          <w:tcPr>
            <w:tcW w:w="1101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641A8" w:rsidRPr="00132579" w:rsidRDefault="004641A8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443" w:type="dxa"/>
          </w:tcPr>
          <w:p w:rsidR="004641A8" w:rsidRPr="00132579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2126" w:type="dxa"/>
            <w:vAlign w:val="center"/>
          </w:tcPr>
          <w:p w:rsidR="004641A8" w:rsidRPr="00C24B92" w:rsidRDefault="004641A8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100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</w:tr>
      <w:tr w:rsidR="00144122" w:rsidRPr="00132579" w:rsidTr="004641A8">
        <w:trPr>
          <w:trHeight w:val="271"/>
        </w:trPr>
        <w:tc>
          <w:tcPr>
            <w:tcW w:w="1101" w:type="dxa"/>
            <w:vAlign w:val="center"/>
          </w:tcPr>
          <w:p w:rsidR="00144122" w:rsidRPr="00132579" w:rsidRDefault="00144122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HCV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ELISA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37,5</w:t>
            </w:r>
          </w:p>
        </w:tc>
      </w:tr>
      <w:tr w:rsidR="00144122" w:rsidRPr="00132579" w:rsidTr="004641A8">
        <w:trPr>
          <w:trHeight w:val="322"/>
        </w:trPr>
        <w:tc>
          <w:tcPr>
            <w:tcW w:w="1101" w:type="dxa"/>
            <w:vAlign w:val="center"/>
          </w:tcPr>
          <w:p w:rsidR="00144122" w:rsidRPr="00132579" w:rsidRDefault="00144122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QUIMIO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132579">
              <w:rPr>
                <w:rFonts w:cs="Arial"/>
                <w:sz w:val="20"/>
                <w:szCs w:val="20"/>
              </w:rPr>
              <w:t>62,5</w:t>
            </w:r>
          </w:p>
        </w:tc>
      </w:tr>
      <w:tr w:rsidR="00144122" w:rsidRPr="00132579" w:rsidTr="004641A8">
        <w:tc>
          <w:tcPr>
            <w:tcW w:w="1101" w:type="dxa"/>
            <w:vAlign w:val="center"/>
          </w:tcPr>
          <w:p w:rsidR="00144122" w:rsidRPr="00132579" w:rsidRDefault="00144122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443" w:type="dxa"/>
            <w:tcBorders>
              <w:top w:val="nil"/>
            </w:tcBorders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638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144122" w:rsidRPr="00132579" w:rsidRDefault="00144122" w:rsidP="00A5671B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sz w:val="20"/>
                <w:szCs w:val="20"/>
              </w:rPr>
            </w:pPr>
            <w:r w:rsidRPr="00132579">
              <w:rPr>
                <w:rFonts w:cs="Arial"/>
                <w:sz w:val="20"/>
                <w:szCs w:val="20"/>
              </w:rPr>
              <w:t>100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F35E89" w:rsidRPr="00FE52C4" w:rsidRDefault="00F35E89" w:rsidP="009D13A5">
      <w:pPr>
        <w:pStyle w:val="Recuodecorpodetexto"/>
        <w:tabs>
          <w:tab w:val="num" w:pos="284"/>
        </w:tabs>
        <w:spacing w:line="240" w:lineRule="auto"/>
        <w:ind w:firstLine="0"/>
        <w:rPr>
          <w:rFonts w:cs="Arial"/>
          <w:sz w:val="20"/>
          <w:szCs w:val="20"/>
        </w:rPr>
      </w:pPr>
      <w:r w:rsidRPr="00FE52C4">
        <w:rPr>
          <w:rFonts w:cs="Arial"/>
          <w:sz w:val="20"/>
          <w:szCs w:val="20"/>
        </w:rPr>
        <w:t>FONTE: DADOS TRABALHADOS PELA AUTORA</w:t>
      </w:r>
    </w:p>
    <w:p w:rsidR="00F35E89" w:rsidRPr="00FD2ED6" w:rsidRDefault="00F35E89" w:rsidP="0035616E">
      <w:pPr>
        <w:pStyle w:val="Recuodecorpodetexto"/>
        <w:tabs>
          <w:tab w:val="num" w:pos="284"/>
        </w:tabs>
        <w:spacing w:line="240" w:lineRule="auto"/>
        <w:ind w:firstLine="709"/>
        <w:rPr>
          <w:rFonts w:cs="Arial"/>
        </w:rPr>
      </w:pPr>
    </w:p>
    <w:p w:rsidR="00F35E89" w:rsidRPr="000407EA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0407EA">
        <w:rPr>
          <w:rFonts w:cs="Arial"/>
        </w:rPr>
        <w:t xml:space="preserve">Para a detecção do genoma dos vírus HIV e HCV foi </w:t>
      </w:r>
      <w:r w:rsidRPr="00753722">
        <w:rPr>
          <w:rFonts w:cs="Arial"/>
        </w:rPr>
        <w:t>utilizado apenas um teste, o NAT multiplex produzido nacionalmente pela Bio-Manguinhos</w:t>
      </w:r>
      <w:r w:rsidR="002B55CF" w:rsidRPr="00753722">
        <w:rPr>
          <w:rFonts w:cs="Arial"/>
        </w:rPr>
        <w:t xml:space="preserve"> </w:t>
      </w:r>
      <w:r w:rsidR="00753722" w:rsidRPr="00753722">
        <w:rPr>
          <w:rFonts w:cs="Arial"/>
        </w:rPr>
        <w:t>(</w:t>
      </w:r>
      <w:r w:rsidR="00753722" w:rsidRPr="00753722">
        <w:rPr>
          <w:rFonts w:eastAsia="Calibri" w:cs="Arial"/>
        </w:rPr>
        <w:t>KIT NAT HIV/ HCV, 2013).</w:t>
      </w:r>
      <w:r w:rsidR="00753722">
        <w:rPr>
          <w:rFonts w:eastAsia="Calibri" w:cs="Arial"/>
          <w:b/>
        </w:rPr>
        <w:t xml:space="preserve"> </w:t>
      </w:r>
    </w:p>
    <w:p w:rsidR="00F35E89" w:rsidRPr="00B010F3" w:rsidRDefault="00F35E89" w:rsidP="00B010F3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</w:rPr>
      </w:pPr>
    </w:p>
    <w:p w:rsidR="00F35E89" w:rsidRPr="00561AA9" w:rsidRDefault="00F35E89" w:rsidP="009D13A5">
      <w:pPr>
        <w:rPr>
          <w:rFonts w:ascii="Arial" w:hAnsi="Arial" w:cs="Arial"/>
          <w:sz w:val="20"/>
          <w:szCs w:val="20"/>
        </w:rPr>
      </w:pPr>
      <w:r w:rsidRPr="00561AA9">
        <w:rPr>
          <w:rFonts w:ascii="Arial" w:hAnsi="Arial" w:cs="Arial"/>
          <w:sz w:val="20"/>
          <w:szCs w:val="20"/>
        </w:rPr>
        <w:t>TABELA 3: TOTAL DE AMOSTRAS REAGENTES NO NAT PARA HIV E HCV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681"/>
        <w:gridCol w:w="1857"/>
        <w:gridCol w:w="2859"/>
        <w:gridCol w:w="2890"/>
      </w:tblGrid>
      <w:tr w:rsidR="00F35E89" w:rsidRPr="00096700" w:rsidTr="00055257">
        <w:trPr>
          <w:trHeight w:val="245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bCs/>
                <w:color w:val="000000"/>
                <w:sz w:val="20"/>
                <w:szCs w:val="20"/>
              </w:rPr>
              <w:t>EXAME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AMOSTRAS REAGENTES</w:t>
            </w:r>
          </w:p>
        </w:tc>
      </w:tr>
      <w:tr w:rsidR="00F35E89" w:rsidRPr="00096700" w:rsidTr="00144122">
        <w:trPr>
          <w:trHeight w:val="150"/>
        </w:trPr>
        <w:tc>
          <w:tcPr>
            <w:tcW w:w="905" w:type="pct"/>
            <w:tcBorders>
              <w:top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bCs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NAT/ PCR</w:t>
            </w:r>
          </w:p>
        </w:tc>
        <w:tc>
          <w:tcPr>
            <w:tcW w:w="1539" w:type="pct"/>
            <w:tcBorders>
              <w:top w:val="single" w:sz="4" w:space="0" w:color="auto"/>
            </w:tcBorders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01/10/2012-31/07/2013</w:t>
            </w:r>
          </w:p>
        </w:tc>
        <w:tc>
          <w:tcPr>
            <w:tcW w:w="1556" w:type="pct"/>
            <w:tcBorders>
              <w:top w:val="single" w:sz="4" w:space="0" w:color="auto"/>
            </w:tcBorders>
          </w:tcPr>
          <w:p w:rsidR="00F35E89" w:rsidRPr="00096700" w:rsidRDefault="00F35E89" w:rsidP="00E944F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72</w:t>
            </w:r>
            <w:r w:rsidR="00E944FE">
              <w:rPr>
                <w:rFonts w:cs="Arial"/>
                <w:color w:val="000000"/>
                <w:sz w:val="20"/>
                <w:szCs w:val="20"/>
              </w:rPr>
              <w:t xml:space="preserve"> (0,036%)</w:t>
            </w:r>
          </w:p>
        </w:tc>
      </w:tr>
      <w:tr w:rsidR="00F35E89" w:rsidRPr="00096700" w:rsidTr="00055257">
        <w:tc>
          <w:tcPr>
            <w:tcW w:w="905" w:type="pct"/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bCs/>
                <w:color w:val="000000"/>
                <w:sz w:val="20"/>
                <w:szCs w:val="20"/>
              </w:rPr>
              <w:t>HCV</w:t>
            </w:r>
          </w:p>
        </w:tc>
        <w:tc>
          <w:tcPr>
            <w:tcW w:w="1000" w:type="pct"/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NAT/ PCR</w:t>
            </w:r>
          </w:p>
        </w:tc>
        <w:tc>
          <w:tcPr>
            <w:tcW w:w="1539" w:type="pct"/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01/10/2012-31/07/2013</w:t>
            </w:r>
          </w:p>
        </w:tc>
        <w:tc>
          <w:tcPr>
            <w:tcW w:w="1556" w:type="pct"/>
          </w:tcPr>
          <w:p w:rsidR="00F35E89" w:rsidRPr="00096700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700">
              <w:rPr>
                <w:rFonts w:cs="Arial"/>
                <w:color w:val="000000"/>
                <w:sz w:val="20"/>
                <w:szCs w:val="20"/>
              </w:rPr>
              <w:t>30</w:t>
            </w:r>
            <w:r w:rsidR="00E944FE">
              <w:rPr>
                <w:rFonts w:cs="Arial"/>
                <w:color w:val="000000"/>
                <w:sz w:val="20"/>
                <w:szCs w:val="20"/>
              </w:rPr>
              <w:t xml:space="preserve"> (0,015%)</w:t>
            </w:r>
          </w:p>
        </w:tc>
      </w:tr>
    </w:tbl>
    <w:p w:rsidR="00F35E89" w:rsidRPr="00096700" w:rsidRDefault="00F35E89" w:rsidP="009D13A5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  <w:sz w:val="20"/>
          <w:szCs w:val="20"/>
        </w:rPr>
      </w:pPr>
      <w:r w:rsidRPr="00096700">
        <w:rPr>
          <w:rFonts w:cs="Arial"/>
          <w:sz w:val="20"/>
          <w:szCs w:val="20"/>
        </w:rPr>
        <w:t>FONTE: DADOS TRABALHADOS PELA AUTORA</w:t>
      </w:r>
    </w:p>
    <w:p w:rsidR="00F35E89" w:rsidRPr="00144122" w:rsidRDefault="00F35E89" w:rsidP="0035616E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</w:rPr>
      </w:pPr>
    </w:p>
    <w:p w:rsidR="00F35E89" w:rsidRPr="000407EA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0407EA">
        <w:rPr>
          <w:rFonts w:cs="Arial"/>
        </w:rPr>
        <w:t xml:space="preserve">Em relação ao HIV, 72 amostras foram </w:t>
      </w:r>
      <w:r w:rsidR="00766510" w:rsidRPr="000407EA">
        <w:rPr>
          <w:rFonts w:cs="Arial"/>
        </w:rPr>
        <w:t>reagentes</w:t>
      </w:r>
      <w:r w:rsidR="00766510">
        <w:rPr>
          <w:rFonts w:cs="Arial"/>
        </w:rPr>
        <w:t xml:space="preserve">, </w:t>
      </w:r>
      <w:r w:rsidRPr="000407EA">
        <w:rPr>
          <w:rFonts w:cs="Arial"/>
        </w:rPr>
        <w:t xml:space="preserve">que corresponde a 0,036% do total de </w:t>
      </w:r>
      <w:r w:rsidR="000219DA" w:rsidRPr="000407EA">
        <w:rPr>
          <w:rFonts w:cs="Arial"/>
        </w:rPr>
        <w:t>amostras</w:t>
      </w:r>
      <w:r w:rsidRPr="000407EA">
        <w:rPr>
          <w:rFonts w:cs="Arial"/>
        </w:rPr>
        <w:t xml:space="preserve"> analisadas (n=200.204). Já em relação ao HCV, 30 amostras foram reagentes </w:t>
      </w:r>
      <w:r w:rsidRPr="0085626D">
        <w:rPr>
          <w:rFonts w:cs="Arial"/>
        </w:rPr>
        <w:t>corresponde</w:t>
      </w:r>
      <w:r w:rsidR="002B55CF" w:rsidRPr="0085626D">
        <w:rPr>
          <w:rFonts w:cs="Arial"/>
        </w:rPr>
        <w:t>ndo</w:t>
      </w:r>
      <w:r w:rsidRPr="0085626D">
        <w:rPr>
          <w:rFonts w:cs="Arial"/>
        </w:rPr>
        <w:t xml:space="preserve"> a 0</w:t>
      </w:r>
      <w:r w:rsidRPr="000407EA">
        <w:rPr>
          <w:rFonts w:cs="Arial"/>
        </w:rPr>
        <w:t>,015% do total (n=200.204)</w:t>
      </w:r>
      <w:r>
        <w:rPr>
          <w:rFonts w:cs="Arial"/>
        </w:rPr>
        <w:t xml:space="preserve"> (tabela 3)</w:t>
      </w:r>
      <w:r w:rsidRPr="000407EA">
        <w:rPr>
          <w:rFonts w:cs="Arial"/>
        </w:rPr>
        <w:t>.</w:t>
      </w:r>
    </w:p>
    <w:p w:rsidR="00E944FE" w:rsidRDefault="00F35E89" w:rsidP="00E944FE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45096F">
        <w:rPr>
          <w:rFonts w:cs="Arial"/>
          <w:color w:val="000000"/>
        </w:rPr>
        <w:t xml:space="preserve">A </w:t>
      </w:r>
      <w:r w:rsidRPr="009E73CF">
        <w:rPr>
          <w:rFonts w:cs="Arial"/>
          <w:color w:val="000000"/>
        </w:rPr>
        <w:t>prevalência</w:t>
      </w:r>
      <w:r>
        <w:rPr>
          <w:rFonts w:cs="Arial"/>
          <w:color w:val="000000"/>
        </w:rPr>
        <w:t xml:space="preserve"> </w:t>
      </w:r>
      <w:r w:rsidRPr="00C24B92">
        <w:rPr>
          <w:rFonts w:cs="Arial"/>
          <w:color w:val="000000"/>
        </w:rPr>
        <w:t xml:space="preserve">encontrada nesta pesquisa foi de 0,24% (0.1664 a 0.3329%) para o HIV e 0,32% (0.2365 </w:t>
      </w:r>
      <w:r>
        <w:rPr>
          <w:rFonts w:cs="Arial"/>
          <w:color w:val="000000"/>
        </w:rPr>
        <w:t>a</w:t>
      </w:r>
      <w:r w:rsidRPr="00C24B92">
        <w:rPr>
          <w:rFonts w:cs="Arial"/>
          <w:color w:val="000000"/>
        </w:rPr>
        <w:t xml:space="preserve"> 0.4169%) para o HCV, o que representa a taxa de inaptidão sorológica dos doadores do Hemepar para estes marcadores.  </w:t>
      </w:r>
      <w:r w:rsidRPr="006567A9">
        <w:rPr>
          <w:rFonts w:cs="Arial"/>
        </w:rPr>
        <w:t xml:space="preserve">O Boletim Anual de Produção </w:t>
      </w:r>
      <w:r w:rsidR="000219DA" w:rsidRPr="006567A9">
        <w:rPr>
          <w:rFonts w:cs="Arial"/>
        </w:rPr>
        <w:t>H</w:t>
      </w:r>
      <w:r w:rsidR="002B55CF">
        <w:rPr>
          <w:rFonts w:cs="Arial"/>
        </w:rPr>
        <w:t>em</w:t>
      </w:r>
      <w:r w:rsidR="000219DA" w:rsidRPr="006567A9">
        <w:rPr>
          <w:rFonts w:cs="Arial"/>
        </w:rPr>
        <w:t>oterápica</w:t>
      </w:r>
      <w:r w:rsidRPr="006567A9">
        <w:rPr>
          <w:rFonts w:cs="Arial"/>
        </w:rPr>
        <w:t xml:space="preserve"> (Hemoprod), reúne dados hemoterápicos de todo o país, incluindo a prevalência sorológica de doenças infecciosas, incluindo o HIV e</w:t>
      </w:r>
      <w:r>
        <w:rPr>
          <w:rFonts w:cs="Arial"/>
        </w:rPr>
        <w:t xml:space="preserve"> </w:t>
      </w:r>
      <w:r w:rsidRPr="006567A9">
        <w:rPr>
          <w:rFonts w:cs="Arial"/>
        </w:rPr>
        <w:t xml:space="preserve">o HCV (tabela </w:t>
      </w:r>
      <w:r w:rsidR="000219DA">
        <w:rPr>
          <w:rFonts w:cs="Arial"/>
        </w:rPr>
        <w:t>4</w:t>
      </w:r>
      <w:r w:rsidR="0085626D">
        <w:rPr>
          <w:rFonts w:cs="Arial"/>
        </w:rPr>
        <w:t>).</w:t>
      </w:r>
      <w:r w:rsidR="00E944FE" w:rsidRPr="00E944FE">
        <w:rPr>
          <w:rFonts w:cs="Arial"/>
        </w:rPr>
        <w:t xml:space="preserve"> </w:t>
      </w:r>
    </w:p>
    <w:p w:rsidR="00E944FE" w:rsidRPr="00C24B92" w:rsidRDefault="00E944FE" w:rsidP="00E944FE">
      <w:pPr>
        <w:pStyle w:val="Recuodecorpodetexto"/>
        <w:tabs>
          <w:tab w:val="num" w:pos="0"/>
        </w:tabs>
        <w:ind w:firstLine="709"/>
        <w:rPr>
          <w:rFonts w:cs="Arial"/>
          <w:color w:val="000000"/>
        </w:rPr>
      </w:pPr>
      <w:r w:rsidRPr="00AF0282">
        <w:rPr>
          <w:rFonts w:cs="Arial"/>
        </w:rPr>
        <w:t xml:space="preserve">A </w:t>
      </w:r>
      <w:r w:rsidRPr="00C24B92">
        <w:rPr>
          <w:rFonts w:cs="Arial"/>
          <w:color w:val="000000"/>
        </w:rPr>
        <w:t xml:space="preserve">estimativa de prevalência encontrada no Brasil, em 2011, foi de 0,33% para o HIV, 1,4 vezes a encontrada no Hemepar (0,24%).  Se comparada somente com a Região Sul, a prevalência no Hemepar é 1,2 vezes menor (0,30%).  Em relação às </w:t>
      </w:r>
      <w:r w:rsidRPr="00C24B92">
        <w:rPr>
          <w:rFonts w:cs="Arial"/>
          <w:color w:val="000000"/>
        </w:rPr>
        <w:lastRenderedPageBreak/>
        <w:t>outras regiões, a prevalência para HIV no Hemepar (0,24%) é 1,6 vezes menor que no Norte (0,40%), 2,7 vezes menor a do Nordeste (0,66%), 1,4 vezes menor a do Centro-Oeste e 1,4 vezes maior que a da região Sudeste (0,17%). (BRASIL, 2012b)</w:t>
      </w:r>
    </w:p>
    <w:p w:rsidR="00144122" w:rsidRDefault="00144122" w:rsidP="00B010F3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F35E89" w:rsidRPr="00AF0282" w:rsidRDefault="00F35E89" w:rsidP="009D13A5">
      <w:pPr>
        <w:rPr>
          <w:rFonts w:ascii="Arial" w:hAnsi="Arial" w:cs="Arial"/>
          <w:sz w:val="20"/>
          <w:szCs w:val="20"/>
        </w:rPr>
      </w:pPr>
      <w:r w:rsidRPr="00A72DD8">
        <w:rPr>
          <w:rFonts w:ascii="Arial" w:hAnsi="Arial" w:cs="Arial"/>
          <w:sz w:val="20"/>
          <w:szCs w:val="20"/>
        </w:rPr>
        <w:t xml:space="preserve">TABELA </w:t>
      </w:r>
      <w:r w:rsidR="000219DA">
        <w:rPr>
          <w:rFonts w:ascii="Arial" w:hAnsi="Arial" w:cs="Arial"/>
          <w:sz w:val="20"/>
          <w:szCs w:val="20"/>
        </w:rPr>
        <w:t>4</w:t>
      </w:r>
      <w:r w:rsidRPr="00A72DD8">
        <w:rPr>
          <w:rFonts w:ascii="Arial" w:hAnsi="Arial" w:cs="Arial"/>
          <w:sz w:val="20"/>
          <w:szCs w:val="20"/>
        </w:rPr>
        <w:t xml:space="preserve">: PREVALÊNCIA DE </w:t>
      </w:r>
      <w:r w:rsidR="00144122" w:rsidRPr="0085626D">
        <w:rPr>
          <w:rFonts w:ascii="Arial" w:hAnsi="Arial" w:cs="Arial"/>
          <w:sz w:val="20"/>
          <w:szCs w:val="20"/>
        </w:rPr>
        <w:t>HIV E</w:t>
      </w:r>
      <w:r w:rsidR="00D4169B" w:rsidRPr="0085626D">
        <w:rPr>
          <w:rFonts w:ascii="Arial" w:hAnsi="Arial" w:cs="Arial"/>
          <w:sz w:val="20"/>
          <w:szCs w:val="20"/>
        </w:rPr>
        <w:t xml:space="preserve"> HCV </w:t>
      </w:r>
      <w:r w:rsidRPr="0085626D">
        <w:rPr>
          <w:rFonts w:ascii="Arial" w:hAnsi="Arial" w:cs="Arial"/>
          <w:sz w:val="20"/>
          <w:szCs w:val="20"/>
        </w:rPr>
        <w:t xml:space="preserve">EM DOADORES </w:t>
      </w:r>
      <w:r w:rsidRPr="00A72DD8">
        <w:rPr>
          <w:rFonts w:ascii="Arial" w:hAnsi="Arial" w:cs="Arial"/>
          <w:sz w:val="20"/>
          <w:szCs w:val="20"/>
        </w:rPr>
        <w:t>DE SANGUE EM 2011 E 2012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440"/>
        <w:gridCol w:w="1719"/>
        <w:gridCol w:w="1719"/>
        <w:gridCol w:w="1718"/>
      </w:tblGrid>
      <w:tr w:rsidR="00D4169B" w:rsidRPr="000030C2" w:rsidTr="00144122">
        <w:trPr>
          <w:trHeight w:val="282"/>
        </w:trPr>
        <w:tc>
          <w:tcPr>
            <w:tcW w:w="1432" w:type="pct"/>
            <w:tcBorders>
              <w:left w:val="nil"/>
              <w:bottom w:val="nil"/>
              <w:right w:val="nil"/>
            </w:tcBorders>
          </w:tcPr>
          <w:p w:rsidR="00D4169B" w:rsidRPr="000030C2" w:rsidRDefault="00D4169B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69B" w:rsidRPr="000030C2" w:rsidRDefault="00D4169B" w:rsidP="00CF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HIV</w:t>
            </w:r>
            <w:r>
              <w:rPr>
                <w:rFonts w:ascii="Arial" w:hAnsi="Arial" w:cs="Arial"/>
                <w:sz w:val="20"/>
                <w:szCs w:val="20"/>
              </w:rPr>
              <w:t>, 2011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69B" w:rsidRPr="000030C2" w:rsidRDefault="00D4169B" w:rsidP="00CF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HIV,2012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69B" w:rsidRPr="0085626D" w:rsidRDefault="00D4169B" w:rsidP="00CF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HCV,2011</w:t>
            </w: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69B" w:rsidRPr="0085626D" w:rsidRDefault="00D4169B" w:rsidP="00CF7F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HCV,2012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HEMEPAR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0,24%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0,24%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0,32%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0,32%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BRASIL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0,33%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0,36%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0,32%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0,27%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REGIÃO SUL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0,30%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0,28%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0,37%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0,29%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REGIÃO NORTE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0,40%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0,35%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0,22%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0,23%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REGIÃO NORDESTE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0,66%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0,66%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0,45%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0,38%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REGIÃO CENTRO-OESTE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0,33%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0,26%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0,32%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0,30%</w:t>
            </w:r>
          </w:p>
        </w:tc>
      </w:tr>
      <w:tr w:rsidR="00D4169B" w:rsidRPr="000030C2" w:rsidTr="00144122">
        <w:trPr>
          <w:trHeight w:val="279"/>
        </w:trPr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9B" w:rsidRPr="000030C2" w:rsidRDefault="00D4169B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REGIÃO SUDESTE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9B" w:rsidRPr="000030C2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0C2">
              <w:rPr>
                <w:rFonts w:ascii="Arial" w:hAnsi="Arial" w:cs="Arial"/>
                <w:sz w:val="20"/>
                <w:szCs w:val="20"/>
              </w:rPr>
              <w:t>0,17%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9B" w:rsidRPr="00647EBA" w:rsidRDefault="00D4169B" w:rsidP="009D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EBA">
              <w:rPr>
                <w:rFonts w:ascii="Arial" w:hAnsi="Arial" w:cs="Arial"/>
                <w:sz w:val="20"/>
                <w:szCs w:val="20"/>
              </w:rPr>
              <w:t>0,30%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0,26%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9B" w:rsidRPr="0085626D" w:rsidRDefault="00D4169B" w:rsidP="009D1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26D">
              <w:rPr>
                <w:rFonts w:ascii="Arial" w:hAnsi="Arial" w:cs="Arial"/>
                <w:sz w:val="20"/>
                <w:szCs w:val="20"/>
              </w:rPr>
              <w:t>0,20%</w:t>
            </w:r>
          </w:p>
        </w:tc>
      </w:tr>
    </w:tbl>
    <w:p w:rsidR="00F35E89" w:rsidRPr="00980BBF" w:rsidRDefault="00F35E89" w:rsidP="00CF7F33">
      <w:pPr>
        <w:rPr>
          <w:rFonts w:ascii="Arial" w:hAnsi="Arial" w:cs="Arial"/>
          <w:sz w:val="20"/>
          <w:szCs w:val="20"/>
        </w:rPr>
      </w:pPr>
      <w:r w:rsidRPr="00980BBF">
        <w:rPr>
          <w:rFonts w:ascii="Arial" w:hAnsi="Arial" w:cs="Arial"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DADOS TRABALHADOS PELA AUTORA, HEMOPROD, 2012 E HEMOPROD, 2013.</w:t>
      </w:r>
    </w:p>
    <w:p w:rsidR="00F35E89" w:rsidRPr="00144122" w:rsidRDefault="00F35E89" w:rsidP="0035616E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F35E89" w:rsidRPr="00666D28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C24B92">
        <w:rPr>
          <w:rFonts w:cs="Arial"/>
          <w:color w:val="000000"/>
        </w:rPr>
        <w:t>Em 2012, a estimativa de</w:t>
      </w:r>
      <w:r>
        <w:rPr>
          <w:rFonts w:cs="Arial"/>
          <w:color w:val="FF0000"/>
        </w:rPr>
        <w:t xml:space="preserve"> </w:t>
      </w:r>
      <w:r w:rsidRPr="00AF0282">
        <w:rPr>
          <w:rFonts w:cs="Arial"/>
        </w:rPr>
        <w:t xml:space="preserve">prevalência nacional foi de 0,36%, 1,5 vezes a encontrada no Hemepar (0,24%). </w:t>
      </w:r>
      <w:r>
        <w:rPr>
          <w:rFonts w:cs="Arial"/>
        </w:rPr>
        <w:t xml:space="preserve"> </w:t>
      </w:r>
      <w:r w:rsidRPr="00AF0282">
        <w:rPr>
          <w:rFonts w:cs="Arial"/>
        </w:rPr>
        <w:t xml:space="preserve">Se comparada somente com a Região Sul, a prevalência no Hemepar é menor, 1,2 vezes para HIV (0,28%), se mantendo estável em relação ao ano de 2011, e 1,1 vezes maior para HCV (0,29%). Em relação às outras regiões, a prevalência para HIV no Hemepar (0,24%) é 1,4 vezes menor que no Norte (0,35%), 2,7 vezes menor a do Nordeste (0,66%), </w:t>
      </w:r>
      <w:r w:rsidR="006B4719" w:rsidRPr="00AF0282">
        <w:rPr>
          <w:rFonts w:cs="Arial"/>
        </w:rPr>
        <w:t>estatisticamente</w:t>
      </w:r>
      <w:r w:rsidRPr="00AF0282">
        <w:rPr>
          <w:rFonts w:cs="Arial"/>
        </w:rPr>
        <w:t xml:space="preserve"> equivalente a do Centro-Oeste (0,30%) e, diferentemente do ano de 2011, 1,2 vezes menor que a da regiã</w:t>
      </w:r>
      <w:r w:rsidR="00825C35">
        <w:rPr>
          <w:rFonts w:cs="Arial"/>
        </w:rPr>
        <w:t>o Sudeste (0,30%) (BRASIL, 2013b</w:t>
      </w:r>
      <w:r w:rsidRPr="00AF0282">
        <w:rPr>
          <w:rFonts w:cs="Arial"/>
        </w:rPr>
        <w:t>).</w:t>
      </w:r>
    </w:p>
    <w:p w:rsidR="00F35E89" w:rsidRPr="0085626D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666D28">
        <w:rPr>
          <w:rFonts w:cs="Arial"/>
        </w:rPr>
        <w:t>A</w:t>
      </w:r>
      <w:r>
        <w:rPr>
          <w:rFonts w:cs="Arial"/>
          <w:color w:val="1F497D"/>
        </w:rPr>
        <w:t xml:space="preserve"> </w:t>
      </w:r>
      <w:r w:rsidRPr="00C24B92">
        <w:rPr>
          <w:rFonts w:cs="Arial"/>
          <w:color w:val="000000"/>
        </w:rPr>
        <w:t xml:space="preserve">estimativa de </w:t>
      </w:r>
      <w:r w:rsidRPr="0085626D">
        <w:rPr>
          <w:rFonts w:cs="Arial"/>
        </w:rPr>
        <w:t xml:space="preserve">prevalência </w:t>
      </w:r>
      <w:r w:rsidR="00D4169B" w:rsidRPr="0085626D">
        <w:rPr>
          <w:rFonts w:cs="Arial"/>
        </w:rPr>
        <w:t xml:space="preserve">do HCV </w:t>
      </w:r>
      <w:r w:rsidRPr="0085626D">
        <w:rPr>
          <w:rFonts w:cs="Arial"/>
        </w:rPr>
        <w:t>encontrada no Brasil, em 2011, foi de 0,32%, igual a encontrada no Hemepar. Se comparada somente com a Região Sul, a prevalência no Hemepar é menor, 1,1 vezes (0,37%). Em comparação a outras regiões, a prevalência no Hemepar (0,32%) é 1,4 vezes menor que a do Nordeste (0,45%), 1,4 vezes maior do que no Norte (0,22%), 1,2 vezes maior que no Sudeste (0,26%) e igual a da Região Centro Oeste (0,32%) (BRASIL, 2012b)</w:t>
      </w:r>
    </w:p>
    <w:p w:rsidR="00F35E89" w:rsidRPr="00666D28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85626D">
        <w:rPr>
          <w:rFonts w:cs="Arial"/>
        </w:rPr>
        <w:t xml:space="preserve">Em 2012, a estimativa de prevalência </w:t>
      </w:r>
      <w:r w:rsidR="00D4169B" w:rsidRPr="0085626D">
        <w:rPr>
          <w:rFonts w:cs="Arial"/>
        </w:rPr>
        <w:t xml:space="preserve">do HCV </w:t>
      </w:r>
      <w:r w:rsidRPr="0085626D">
        <w:rPr>
          <w:rFonts w:cs="Arial"/>
        </w:rPr>
        <w:t xml:space="preserve">nacional foi de </w:t>
      </w:r>
      <w:r w:rsidRPr="00666D28">
        <w:rPr>
          <w:rFonts w:cs="Arial"/>
        </w:rPr>
        <w:t xml:space="preserve">0,27%, 1,2 vezes a encontrada no Hemepar (0,32%). Se comparada somente com a Região Sul, a prevalência é 1,1 vezes maior para HCV (0,29%). Em relação às outras regiões, a prevalência no Hemepar (0,32%) é 1,2 vezes menor que a do Nordeste (0,38%), 1,4 vezes maior do que no Norte (0,23%), 1,6 vezes maior que no Sudeste (0,20%) e equivalente </w:t>
      </w:r>
      <w:r w:rsidR="00EB3275" w:rsidRPr="00666D28">
        <w:rPr>
          <w:rFonts w:cs="Arial"/>
        </w:rPr>
        <w:t>à</w:t>
      </w:r>
      <w:r w:rsidRPr="00666D28">
        <w:rPr>
          <w:rFonts w:cs="Arial"/>
        </w:rPr>
        <w:t xml:space="preserve"> da Região Centro Oeste (0,30%) (BRASIL, 201</w:t>
      </w:r>
      <w:r w:rsidR="00825C35">
        <w:rPr>
          <w:rFonts w:cs="Arial"/>
        </w:rPr>
        <w:t>3b</w:t>
      </w:r>
      <w:r w:rsidRPr="00666D28">
        <w:rPr>
          <w:rFonts w:cs="Arial"/>
        </w:rPr>
        <w:t>).</w:t>
      </w:r>
    </w:p>
    <w:p w:rsidR="00F35E89" w:rsidRPr="00666D28" w:rsidRDefault="00C84298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>
        <w:rPr>
          <w:rFonts w:cs="Arial"/>
        </w:rPr>
        <w:t>Em relação a inaptidão molecular, f</w:t>
      </w:r>
      <w:r w:rsidR="00F35E89" w:rsidRPr="00F255C7">
        <w:rPr>
          <w:rFonts w:cs="Arial"/>
        </w:rPr>
        <w:t xml:space="preserve">oi </w:t>
      </w:r>
      <w:r w:rsidR="00F35E89" w:rsidRPr="00755E15">
        <w:rPr>
          <w:rFonts w:cs="Arial"/>
        </w:rPr>
        <w:t>encontrado uma prevalência de</w:t>
      </w:r>
      <w:r w:rsidR="00F35E89" w:rsidRPr="00F255C7">
        <w:rPr>
          <w:rFonts w:cs="Arial"/>
        </w:rPr>
        <w:t xml:space="preserve"> 0,036% para o HIV e 0,014% para o HCV. Como </w:t>
      </w:r>
      <w:r w:rsidR="00F35E89">
        <w:rPr>
          <w:rFonts w:cs="Arial"/>
        </w:rPr>
        <w:t>o teste utilizado</w:t>
      </w:r>
      <w:r w:rsidR="00F35E89" w:rsidRPr="00F255C7">
        <w:rPr>
          <w:rFonts w:cs="Arial"/>
        </w:rPr>
        <w:t xml:space="preserve"> é multiplex, ou seja, </w:t>
      </w:r>
      <w:r w:rsidR="00F35E89" w:rsidRPr="00F255C7">
        <w:rPr>
          <w:rFonts w:cs="Arial"/>
        </w:rPr>
        <w:lastRenderedPageBreak/>
        <w:t xml:space="preserve">detecta a presença dos dois vírus </w:t>
      </w:r>
      <w:r w:rsidR="000219DA" w:rsidRPr="00F255C7">
        <w:rPr>
          <w:rFonts w:cs="Arial"/>
        </w:rPr>
        <w:t>simultaneamente</w:t>
      </w:r>
      <w:r w:rsidR="00F35E89" w:rsidRPr="00F255C7">
        <w:rPr>
          <w:rFonts w:cs="Arial"/>
        </w:rPr>
        <w:t>, foi calculada também a prevalência combinada, send</w:t>
      </w:r>
      <w:r>
        <w:rPr>
          <w:rFonts w:cs="Arial"/>
        </w:rPr>
        <w:t>o encontrado um valor de 0,051% (tabela 5).</w:t>
      </w:r>
    </w:p>
    <w:p w:rsidR="00F35E89" w:rsidRDefault="00F35E89" w:rsidP="00B01AD8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F35E89" w:rsidRPr="00666D28" w:rsidRDefault="00F35E89" w:rsidP="00CF7F33">
      <w:pPr>
        <w:rPr>
          <w:rFonts w:ascii="Arial" w:hAnsi="Arial" w:cs="Arial"/>
          <w:sz w:val="20"/>
          <w:szCs w:val="20"/>
        </w:rPr>
      </w:pPr>
      <w:r w:rsidRPr="00666D28">
        <w:rPr>
          <w:rFonts w:ascii="Arial" w:hAnsi="Arial" w:cs="Arial"/>
          <w:sz w:val="20"/>
          <w:szCs w:val="20"/>
        </w:rPr>
        <w:t xml:space="preserve">TABELA </w:t>
      </w:r>
      <w:r w:rsidR="00C84298">
        <w:rPr>
          <w:rFonts w:ascii="Arial" w:hAnsi="Arial" w:cs="Arial"/>
          <w:sz w:val="20"/>
          <w:szCs w:val="20"/>
        </w:rPr>
        <w:t>5: COMPARAÇÃO</w:t>
      </w:r>
      <w:r w:rsidRPr="00666D28">
        <w:rPr>
          <w:rFonts w:ascii="Arial" w:hAnsi="Arial" w:cs="Arial"/>
          <w:sz w:val="20"/>
          <w:szCs w:val="20"/>
        </w:rPr>
        <w:t xml:space="preserve"> DE PRE</w:t>
      </w:r>
      <w:r>
        <w:rPr>
          <w:rFonts w:ascii="Arial" w:hAnsi="Arial" w:cs="Arial"/>
          <w:sz w:val="20"/>
          <w:szCs w:val="20"/>
        </w:rPr>
        <w:t>VALÊNCIA DE INAPTIDÃO MOLECULAR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316"/>
        <w:gridCol w:w="895"/>
        <w:gridCol w:w="1126"/>
        <w:gridCol w:w="1016"/>
      </w:tblGrid>
      <w:tr w:rsidR="00F35E89" w:rsidRPr="00666D28" w:rsidTr="005604A5">
        <w:trPr>
          <w:trHeight w:val="280"/>
        </w:trPr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666D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666D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PROCEDÊNCIA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HIV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HCV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F35E89" w:rsidRPr="00666D28" w:rsidTr="005604A5">
        <w:trPr>
          <w:trHeight w:val="28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Esta pesquisa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HEMEPAR, 2014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0,036%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0,014%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0,051%</w:t>
            </w:r>
          </w:p>
        </w:tc>
      </w:tr>
      <w:tr w:rsidR="00F35E89" w:rsidRPr="00666D28" w:rsidTr="005604A5">
        <w:trPr>
          <w:trHeight w:val="280"/>
        </w:trPr>
        <w:tc>
          <w:tcPr>
            <w:tcW w:w="1796" w:type="dxa"/>
            <w:tcBorders>
              <w:top w:val="nil"/>
              <w:left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 xml:space="preserve">Levi </w:t>
            </w:r>
            <w:r w:rsidRPr="00666D28">
              <w:rPr>
                <w:rFonts w:cs="Arial"/>
                <w:i/>
                <w:sz w:val="20"/>
                <w:szCs w:val="20"/>
              </w:rPr>
              <w:t xml:space="preserve">et al, </w:t>
            </w:r>
            <w:r w:rsidRPr="00666D28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HOSPITAL ALBERT EINSTEIN - 2010-2011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F35E89" w:rsidRPr="00666D28" w:rsidRDefault="00F35E89" w:rsidP="00CF7F33">
            <w:pPr>
              <w:pStyle w:val="Recuodecorpodetexto"/>
              <w:spacing w:line="240" w:lineRule="auto"/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66D28">
              <w:rPr>
                <w:rFonts w:cs="Arial"/>
                <w:sz w:val="20"/>
                <w:szCs w:val="20"/>
              </w:rPr>
              <w:t>0,14%</w:t>
            </w:r>
          </w:p>
        </w:tc>
      </w:tr>
    </w:tbl>
    <w:p w:rsidR="00F35E89" w:rsidRPr="00666D28" w:rsidRDefault="00F35E89" w:rsidP="00CF7F33">
      <w:pPr>
        <w:pStyle w:val="Recuodecorpodetexto"/>
        <w:spacing w:line="240" w:lineRule="auto"/>
        <w:ind w:firstLine="0"/>
        <w:rPr>
          <w:rFonts w:cs="Arial"/>
          <w:sz w:val="20"/>
          <w:szCs w:val="20"/>
        </w:rPr>
      </w:pPr>
      <w:r w:rsidRPr="00666D28">
        <w:rPr>
          <w:rFonts w:cs="Arial"/>
          <w:sz w:val="20"/>
          <w:szCs w:val="20"/>
        </w:rPr>
        <w:t xml:space="preserve">FONTE: DADOS TRABALHADOS PELA AUTORA, Levi </w:t>
      </w:r>
      <w:r w:rsidRPr="00666D28">
        <w:rPr>
          <w:rFonts w:cs="Arial"/>
          <w:i/>
          <w:sz w:val="20"/>
          <w:szCs w:val="20"/>
        </w:rPr>
        <w:t>et al</w:t>
      </w:r>
      <w:r w:rsidRPr="00666D28">
        <w:rPr>
          <w:rFonts w:cs="Arial"/>
          <w:sz w:val="20"/>
          <w:szCs w:val="20"/>
        </w:rPr>
        <w:t>, 2012.</w:t>
      </w:r>
    </w:p>
    <w:p w:rsidR="00F35E89" w:rsidRPr="00666D28" w:rsidRDefault="00F35E89" w:rsidP="0035616E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</w:rPr>
      </w:pPr>
    </w:p>
    <w:p w:rsidR="00F35E89" w:rsidRPr="00BC5CFA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BC5CFA">
        <w:rPr>
          <w:rFonts w:cs="Arial"/>
        </w:rPr>
        <w:t xml:space="preserve">A inaptidão molecular total, no Hospital Albert Einstein (0,14%), é 2,7 vezes maior que no Hemepar (0,051%). </w:t>
      </w:r>
      <w:r w:rsidR="00B01AD8" w:rsidRPr="00EF5CCC">
        <w:rPr>
          <w:rFonts w:cs="Arial"/>
          <w:color w:val="000000" w:themeColor="text1"/>
        </w:rPr>
        <w:t>Provavelmente devido ao Hospital Albert Einstein pesquisar também o HBV</w:t>
      </w:r>
      <w:r w:rsidR="00EF5CCC">
        <w:rPr>
          <w:rFonts w:cs="Arial"/>
          <w:color w:val="FF0000"/>
        </w:rPr>
        <w:t xml:space="preserve"> </w:t>
      </w:r>
      <w:r w:rsidR="00B01AD8">
        <w:rPr>
          <w:rFonts w:cs="Arial"/>
        </w:rPr>
        <w:t xml:space="preserve"> </w:t>
      </w:r>
      <w:r w:rsidR="00825C35">
        <w:rPr>
          <w:rFonts w:cs="Arial"/>
        </w:rPr>
        <w:t>(BRASIL, 2012b; BRASIL, 2013b</w:t>
      </w:r>
      <w:r w:rsidRPr="00BC5CFA">
        <w:rPr>
          <w:rFonts w:cs="Arial"/>
        </w:rPr>
        <w:t>)</w:t>
      </w:r>
      <w:r w:rsidR="00A5671B">
        <w:rPr>
          <w:rFonts w:cs="Arial"/>
        </w:rPr>
        <w:t>.</w:t>
      </w:r>
    </w:p>
    <w:p w:rsidR="00F35E89" w:rsidRDefault="00F35E89" w:rsidP="006C48C9">
      <w:pPr>
        <w:pStyle w:val="Recuodecorpodetexto"/>
        <w:tabs>
          <w:tab w:val="num" w:pos="0"/>
          <w:tab w:val="left" w:pos="851"/>
        </w:tabs>
        <w:ind w:firstLine="709"/>
        <w:rPr>
          <w:rFonts w:cs="Arial"/>
        </w:rPr>
      </w:pPr>
      <w:r>
        <w:rPr>
          <w:rFonts w:cs="Arial"/>
        </w:rPr>
        <w:tab/>
      </w:r>
      <w:r w:rsidRPr="009210AB">
        <w:rPr>
          <w:rFonts w:cs="Arial"/>
        </w:rPr>
        <w:t>De</w:t>
      </w:r>
      <w:r w:rsidRPr="002A114D">
        <w:rPr>
          <w:rFonts w:cs="Arial"/>
        </w:rPr>
        <w:t xml:space="preserve"> acordo com os dados </w:t>
      </w:r>
      <w:r w:rsidR="00EF5CCC">
        <w:rPr>
          <w:rFonts w:cs="Arial"/>
        </w:rPr>
        <w:t xml:space="preserve">coletados </w:t>
      </w:r>
      <w:r w:rsidRPr="002A114D">
        <w:rPr>
          <w:rFonts w:cs="Arial"/>
        </w:rPr>
        <w:t xml:space="preserve">foram detectadas 479 (0,24%) amostras reagentes na sorologia, sendo que 0,20% (n=408) apresentaram positividade somente na sorologia e 0,04% (n=71) foram reagentes na sorologia e no teste NAT simultaneamente. Para o NAT, observa-se 72 (0,04%) amostras reagentes, sendo 1 (0,001%) reagente somente no NAT, sendo essa, em período de janela imunológica (tabela </w:t>
      </w:r>
      <w:r w:rsidR="00C84298">
        <w:rPr>
          <w:rFonts w:cs="Arial"/>
        </w:rPr>
        <w:t>6</w:t>
      </w:r>
      <w:r w:rsidRPr="002A114D">
        <w:rPr>
          <w:rFonts w:cs="Arial"/>
        </w:rPr>
        <w:t xml:space="preserve">). </w:t>
      </w:r>
    </w:p>
    <w:p w:rsidR="000219DA" w:rsidRPr="00144122" w:rsidRDefault="000219DA" w:rsidP="00B01AD8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F35E89" w:rsidRDefault="00F35E89" w:rsidP="009D13A5">
      <w:pPr>
        <w:jc w:val="both"/>
        <w:rPr>
          <w:rFonts w:ascii="Arial" w:hAnsi="Arial" w:cs="Arial"/>
        </w:rPr>
      </w:pPr>
      <w:r w:rsidRPr="0054604B">
        <w:rPr>
          <w:rFonts w:ascii="Arial" w:hAnsi="Arial" w:cs="Arial"/>
          <w:sz w:val="20"/>
          <w:szCs w:val="20"/>
        </w:rPr>
        <w:t xml:space="preserve">TABELA </w:t>
      </w:r>
      <w:r w:rsidR="00C84298">
        <w:rPr>
          <w:rFonts w:ascii="Arial" w:hAnsi="Arial" w:cs="Arial"/>
          <w:sz w:val="20"/>
          <w:szCs w:val="20"/>
        </w:rPr>
        <w:t>6</w:t>
      </w:r>
      <w:r w:rsidRPr="0054604B">
        <w:rPr>
          <w:rFonts w:ascii="Arial" w:hAnsi="Arial" w:cs="Arial"/>
          <w:sz w:val="20"/>
          <w:szCs w:val="20"/>
        </w:rPr>
        <w:t>: TABELA DE CONTINGÊNCIA SOROLOGIA E NAT PARA HIV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066"/>
        <w:gridCol w:w="622"/>
        <w:gridCol w:w="1116"/>
        <w:gridCol w:w="1095"/>
        <w:gridCol w:w="1163"/>
        <w:gridCol w:w="1191"/>
        <w:gridCol w:w="1155"/>
      </w:tblGrid>
      <w:tr w:rsidR="00F35E89" w:rsidRPr="003A34A6" w:rsidTr="00F92D04">
        <w:trPr>
          <w:trHeight w:val="197"/>
        </w:trPr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HIV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SOROLOGIA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35E89" w:rsidRPr="003A34A6" w:rsidTr="00F92D04">
        <w:trPr>
          <w:trHeight w:val="22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REAGENTE</w:t>
            </w:r>
          </w:p>
        </w:tc>
        <w:tc>
          <w:tcPr>
            <w:tcW w:w="119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NÃO REAGENTE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89" w:rsidRPr="003A34A6" w:rsidTr="00F92D04">
        <w:trPr>
          <w:trHeight w:val="288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F35E89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35E89" w:rsidRDefault="00F35E89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F35E89" w:rsidRDefault="00F35E89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35E89" w:rsidRPr="003A34A6" w:rsidTr="00F92D04">
        <w:trPr>
          <w:trHeight w:val="288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NAT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REAGENTE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F35E89" w:rsidRPr="003A34A6" w:rsidTr="00F92D04">
        <w:trPr>
          <w:trHeight w:val="26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NÃO REAGENTE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199.724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99,76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200.132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99,96</w:t>
            </w:r>
          </w:p>
        </w:tc>
      </w:tr>
      <w:tr w:rsidR="00F35E89" w:rsidRPr="003A34A6" w:rsidTr="00F92D04">
        <w:trPr>
          <w:trHeight w:val="296"/>
        </w:trPr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TOTA</w:t>
            </w:r>
            <w:r w:rsidR="00F92D0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199.725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99,76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200.204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F35E89" w:rsidRPr="0054604B" w:rsidRDefault="00F35E89" w:rsidP="009D13A5">
      <w:pPr>
        <w:jc w:val="both"/>
        <w:rPr>
          <w:rFonts w:ascii="Arial" w:hAnsi="Arial" w:cs="Arial"/>
          <w:sz w:val="20"/>
          <w:szCs w:val="20"/>
        </w:rPr>
      </w:pPr>
      <w:r w:rsidRPr="0054604B">
        <w:rPr>
          <w:rFonts w:ascii="Arial" w:hAnsi="Arial" w:cs="Arial"/>
          <w:sz w:val="20"/>
          <w:szCs w:val="20"/>
        </w:rPr>
        <w:t>FONTE: DADOS TRABALHADOS PELA AUTORA</w:t>
      </w:r>
    </w:p>
    <w:p w:rsidR="00F35E89" w:rsidRPr="00144122" w:rsidRDefault="00F35E89" w:rsidP="0035616E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587CFB" w:rsidRPr="0035616E" w:rsidRDefault="00B6078D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>
        <w:rPr>
          <w:rFonts w:cs="Arial"/>
        </w:rPr>
        <w:t>E</w:t>
      </w:r>
      <w:r w:rsidR="00F35E89" w:rsidRPr="00B07BBC">
        <w:rPr>
          <w:rFonts w:cs="Arial"/>
        </w:rPr>
        <w:t xml:space="preserve">m teste </w:t>
      </w:r>
      <w:r w:rsidR="00144122">
        <w:rPr>
          <w:rFonts w:cs="Arial"/>
        </w:rPr>
        <w:t>Q</w:t>
      </w:r>
      <w:r w:rsidR="00F35E89" w:rsidRPr="00B07BBC">
        <w:rPr>
          <w:rFonts w:cs="Arial"/>
        </w:rPr>
        <w:t>ui-quadrado, a relação para o HIV</w:t>
      </w:r>
      <w:r w:rsidR="00044468" w:rsidRPr="00B07BBC">
        <w:rPr>
          <w:rFonts w:cs="Arial"/>
        </w:rPr>
        <w:t xml:space="preserve"> apresentou-se</w:t>
      </w:r>
      <w:r w:rsidR="00F35E89" w:rsidRPr="00790A33">
        <w:rPr>
          <w:rFonts w:cs="Arial"/>
        </w:rPr>
        <w:t xml:space="preserve"> estatisticamente significante (um valor de p&lt;0,001)</w:t>
      </w:r>
      <w:r w:rsidR="00F35E89">
        <w:rPr>
          <w:rFonts w:cs="Arial"/>
        </w:rPr>
        <w:t xml:space="preserve">. </w:t>
      </w:r>
      <w:r w:rsidR="00F35E89" w:rsidRPr="00B07BBC">
        <w:rPr>
          <w:rFonts w:cs="Arial"/>
        </w:rPr>
        <w:t>Conclui-se que a ocorrência dos eventos (sorologia e NAT) são significantemente diferentes</w:t>
      </w:r>
      <w:r w:rsidR="00F35E89" w:rsidRPr="00317DB4">
        <w:rPr>
          <w:rFonts w:cs="Arial"/>
        </w:rPr>
        <w:t xml:space="preserve">.  </w:t>
      </w:r>
      <w:r w:rsidR="00587CFB" w:rsidRPr="00317DB4">
        <w:rPr>
          <w:rFonts w:cs="Arial"/>
        </w:rPr>
        <w:t>Além disso, deve haver a rejeição de H</w:t>
      </w:r>
      <w:r w:rsidR="00587CFB" w:rsidRPr="00317DB4">
        <w:rPr>
          <w:rFonts w:cs="Arial"/>
          <w:vertAlign w:val="subscript"/>
        </w:rPr>
        <w:t>0</w:t>
      </w:r>
      <w:r w:rsidR="00587CFB" w:rsidRPr="00317DB4">
        <w:rPr>
          <w:rFonts w:cs="Arial"/>
        </w:rPr>
        <w:t xml:space="preserve"> e aceitação de H</w:t>
      </w:r>
      <w:r w:rsidR="00587CFB" w:rsidRPr="00317DB4">
        <w:rPr>
          <w:rFonts w:cs="Arial"/>
          <w:vertAlign w:val="subscript"/>
        </w:rPr>
        <w:t>1</w:t>
      </w:r>
      <w:r w:rsidR="00587CFB" w:rsidRPr="00317DB4">
        <w:rPr>
          <w:rFonts w:cs="Arial"/>
        </w:rPr>
        <w:t xml:space="preserve"> </w:t>
      </w:r>
      <w:r w:rsidR="00C07C0E" w:rsidRPr="00B6078D">
        <w:rPr>
          <w:rFonts w:cs="Arial"/>
          <w:color w:val="000000" w:themeColor="text1"/>
        </w:rPr>
        <w:t xml:space="preserve">descartando-se </w:t>
      </w:r>
      <w:r w:rsidR="00587CFB" w:rsidRPr="00B6078D">
        <w:rPr>
          <w:rFonts w:cs="Arial"/>
          <w:color w:val="000000" w:themeColor="text1"/>
        </w:rPr>
        <w:t>a</w:t>
      </w:r>
      <w:r w:rsidR="00587CFB" w:rsidRPr="00317DB4">
        <w:rPr>
          <w:rFonts w:cs="Arial"/>
        </w:rPr>
        <w:t xml:space="preserve"> possibilidade de que os fatores sejam independentes, estabelecendo que realmente há uma relação de dependência entre eles. </w:t>
      </w:r>
    </w:p>
    <w:p w:rsidR="00F35E89" w:rsidRPr="006E3D91" w:rsidRDefault="00BE7213" w:rsidP="006C48C9">
      <w:pPr>
        <w:spacing w:line="360" w:lineRule="auto"/>
        <w:ind w:firstLine="709"/>
        <w:jc w:val="both"/>
        <w:rPr>
          <w:rFonts w:ascii="Arial" w:hAnsi="Arial" w:cs="Arial"/>
        </w:rPr>
      </w:pPr>
      <w:r w:rsidRPr="00B6078D">
        <w:rPr>
          <w:rFonts w:ascii="Arial" w:hAnsi="Arial" w:cs="Arial"/>
          <w:color w:val="000000" w:themeColor="text1"/>
        </w:rPr>
        <w:t xml:space="preserve">Ao quantificar a </w:t>
      </w:r>
      <w:r w:rsidR="00F35E89" w:rsidRPr="00B6078D">
        <w:rPr>
          <w:rFonts w:ascii="Arial" w:hAnsi="Arial" w:cs="Arial"/>
          <w:color w:val="000000" w:themeColor="text1"/>
        </w:rPr>
        <w:t>probabilidade de ocorrência de sorologia e NAT, o resultado de riscos dos eventos ocorrer</w:t>
      </w:r>
      <w:r w:rsidRPr="00B6078D">
        <w:rPr>
          <w:rFonts w:ascii="Arial" w:hAnsi="Arial" w:cs="Arial"/>
          <w:color w:val="000000" w:themeColor="text1"/>
        </w:rPr>
        <w:t>e</w:t>
      </w:r>
      <w:r w:rsidR="00F35E89" w:rsidRPr="00B6078D">
        <w:rPr>
          <w:rFonts w:ascii="Arial" w:hAnsi="Arial" w:cs="Arial"/>
          <w:color w:val="000000" w:themeColor="text1"/>
        </w:rPr>
        <w:t xml:space="preserve">m de forma isolada ou </w:t>
      </w:r>
      <w:r w:rsidR="00B6078D" w:rsidRPr="00B6078D">
        <w:rPr>
          <w:rFonts w:ascii="Arial" w:hAnsi="Arial" w:cs="Arial"/>
          <w:color w:val="000000" w:themeColor="text1"/>
        </w:rPr>
        <w:t>simultânea</w:t>
      </w:r>
      <w:r w:rsidR="007D35D8" w:rsidRPr="00B6078D">
        <w:rPr>
          <w:rFonts w:ascii="Arial" w:hAnsi="Arial" w:cs="Arial"/>
          <w:color w:val="000000" w:themeColor="text1"/>
        </w:rPr>
        <w:t xml:space="preserve"> é</w:t>
      </w:r>
      <w:r w:rsidR="00F35E89" w:rsidRPr="00B6078D">
        <w:rPr>
          <w:rFonts w:ascii="Arial" w:hAnsi="Arial" w:cs="Arial"/>
          <w:color w:val="000000" w:themeColor="text1"/>
        </w:rPr>
        <w:t>: 14</w:t>
      </w:r>
      <w:r w:rsidR="00F35E89" w:rsidRPr="00C24B92">
        <w:rPr>
          <w:rFonts w:ascii="Arial" w:hAnsi="Arial" w:cs="Arial"/>
          <w:color w:val="000000"/>
        </w:rPr>
        <w:t>,8% (a/(a+c)) de chance de NAT e sorologia serem positivos ao mesmo tempo, 99,9% (d/(b+d)) de NAT e sorologia serem negativos ao mesmo tempo, 0,001% (b/(b+d)) de sorologia negativa com NAT positivo e 85% (c/(a+c)) de chance de sorologia positiva com</w:t>
      </w:r>
      <w:r w:rsidR="00F35E89" w:rsidRPr="006E3D91">
        <w:rPr>
          <w:rFonts w:ascii="Arial" w:hAnsi="Arial" w:cs="Arial"/>
        </w:rPr>
        <w:t xml:space="preserve"> NAT negativo</w:t>
      </w:r>
      <w:r w:rsidR="00F35E89">
        <w:rPr>
          <w:rFonts w:ascii="Arial" w:hAnsi="Arial" w:cs="Arial"/>
        </w:rPr>
        <w:t>.</w:t>
      </w:r>
    </w:p>
    <w:p w:rsidR="000B0315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3D4861">
        <w:rPr>
          <w:rFonts w:cs="Arial"/>
        </w:rPr>
        <w:lastRenderedPageBreak/>
        <w:t>Um estudo realizad</w:t>
      </w:r>
      <w:r>
        <w:rPr>
          <w:rFonts w:cs="Arial"/>
        </w:rPr>
        <w:t>o</w:t>
      </w:r>
      <w:r w:rsidRPr="006E3D91">
        <w:rPr>
          <w:rFonts w:cs="Arial"/>
        </w:rPr>
        <w:t xml:space="preserve"> </w:t>
      </w:r>
      <w:r w:rsidRPr="003D4861">
        <w:rPr>
          <w:rFonts w:cs="Arial"/>
        </w:rPr>
        <w:t>no Hemocentro de Brasília encontrou índices concordantes com uma probabilidade de</w:t>
      </w:r>
      <w:r w:rsidR="005604A5">
        <w:rPr>
          <w:rFonts w:cs="Arial"/>
        </w:rPr>
        <w:t xml:space="preserve"> resultados positivos </w:t>
      </w:r>
      <w:r w:rsidR="00D50563">
        <w:rPr>
          <w:rFonts w:cs="Arial"/>
        </w:rPr>
        <w:t>simultâneos</w:t>
      </w:r>
      <w:r w:rsidRPr="003D4861">
        <w:rPr>
          <w:rFonts w:cs="Arial"/>
        </w:rPr>
        <w:t xml:space="preserve"> de 14,7%. De acordo com a autora, essa fraca relação entre os dois testes indica uma dependência entre os mesmos (corroborando os resultados do </w:t>
      </w:r>
      <w:r w:rsidR="00144122">
        <w:rPr>
          <w:rFonts w:cs="Arial"/>
        </w:rPr>
        <w:t>Q</w:t>
      </w:r>
      <w:r w:rsidRPr="003D4861">
        <w:rPr>
          <w:rFonts w:cs="Arial"/>
        </w:rPr>
        <w:t xml:space="preserve">ui-quadrado), os tornando </w:t>
      </w:r>
      <w:r w:rsidRPr="00B6078D">
        <w:rPr>
          <w:rFonts w:cs="Arial"/>
          <w:color w:val="000000" w:themeColor="text1"/>
        </w:rPr>
        <w:t xml:space="preserve">complementares, </w:t>
      </w:r>
      <w:r w:rsidR="00BE7213" w:rsidRPr="00B6078D">
        <w:rPr>
          <w:rFonts w:cs="Arial"/>
          <w:color w:val="000000" w:themeColor="text1"/>
        </w:rPr>
        <w:t xml:space="preserve">sendo que </w:t>
      </w:r>
      <w:r w:rsidRPr="00B6078D">
        <w:rPr>
          <w:rFonts w:cs="Arial"/>
          <w:color w:val="000000" w:themeColor="text1"/>
        </w:rPr>
        <w:t>o objetivo dos bancos de sangue não é o diagnóstico de doenças. Ainda em relação</w:t>
      </w:r>
      <w:r w:rsidRPr="003D4861">
        <w:rPr>
          <w:rFonts w:cs="Arial"/>
        </w:rPr>
        <w:t xml:space="preserve"> à concordância de resultados, essa baixa porcentagem, em relação aos outros prováveis resultados, pode ser ocasionada por dois fatores: presença de indivíduos com altos títulos de anticorpos e carga viral não detectável, o que gera positividade apenas na sorologia e também pela ocorrência de uma grande quantidade de resultados falso-</w:t>
      </w:r>
      <w:r w:rsidRPr="00790A33">
        <w:rPr>
          <w:rFonts w:cs="Arial"/>
        </w:rPr>
        <w:t xml:space="preserve">positivos, </w:t>
      </w:r>
      <w:r w:rsidR="00144122" w:rsidRPr="00790A33">
        <w:rPr>
          <w:rFonts w:cs="Arial"/>
        </w:rPr>
        <w:t>consequência</w:t>
      </w:r>
      <w:r w:rsidRPr="00790A33">
        <w:rPr>
          <w:rFonts w:cs="Arial"/>
        </w:rPr>
        <w:t xml:space="preserve"> da alta sensibilidade dos testes sorológicos utilizados </w:t>
      </w:r>
      <w:r w:rsidRPr="009869C3">
        <w:rPr>
          <w:rFonts w:cs="Arial"/>
        </w:rPr>
        <w:t xml:space="preserve">atualmente (LIMA, 2011). </w:t>
      </w:r>
    </w:p>
    <w:p w:rsidR="00F35E89" w:rsidRDefault="000B0315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>
        <w:rPr>
          <w:rFonts w:cs="Arial"/>
        </w:rPr>
        <w:t>Já em relação ao HCV, d</w:t>
      </w:r>
      <w:r w:rsidR="00F35E89" w:rsidRPr="009869C3">
        <w:rPr>
          <w:rFonts w:cs="Arial"/>
        </w:rPr>
        <w:t xml:space="preserve">e acordo com os dados coletados foram detectadas 638 (0,32%) amostras reagentes na sorologia, sendo que 0,30% (n=608) apresentaram positividade somente na sorologia e 0,01% (n=30) foram reagentes na sorologia e no teste NAT simultaneamente. Para o NAT 0,01% das (n=30) amostras apresentaram resultado reagente, sendo todas elas simultâneas a sorologia, podendo-se afirmar que não houve nenhuma janela imunológica detectada no período do estudo (tabela </w:t>
      </w:r>
      <w:r w:rsidR="00C84298">
        <w:rPr>
          <w:rFonts w:cs="Arial"/>
        </w:rPr>
        <w:t>7</w:t>
      </w:r>
      <w:r w:rsidR="00F35E89" w:rsidRPr="009869C3">
        <w:rPr>
          <w:rFonts w:cs="Arial"/>
        </w:rPr>
        <w:t>).</w:t>
      </w:r>
    </w:p>
    <w:p w:rsidR="00144122" w:rsidRDefault="00144122" w:rsidP="0035616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35E89" w:rsidRDefault="00F35E89" w:rsidP="009D13A5">
      <w:pPr>
        <w:jc w:val="both"/>
        <w:rPr>
          <w:rFonts w:ascii="Arial" w:hAnsi="Arial" w:cs="Arial"/>
          <w:sz w:val="20"/>
          <w:szCs w:val="20"/>
        </w:rPr>
      </w:pPr>
      <w:r w:rsidRPr="00B648C4">
        <w:rPr>
          <w:rFonts w:ascii="Arial" w:hAnsi="Arial" w:cs="Arial"/>
          <w:sz w:val="20"/>
          <w:szCs w:val="20"/>
        </w:rPr>
        <w:t xml:space="preserve">TABELA </w:t>
      </w:r>
      <w:r w:rsidR="00C84298">
        <w:rPr>
          <w:rFonts w:ascii="Arial" w:hAnsi="Arial" w:cs="Arial"/>
          <w:sz w:val="20"/>
          <w:szCs w:val="20"/>
        </w:rPr>
        <w:t>7</w:t>
      </w:r>
      <w:r w:rsidRPr="00B648C4">
        <w:rPr>
          <w:rFonts w:ascii="Arial" w:hAnsi="Arial" w:cs="Arial"/>
          <w:sz w:val="20"/>
          <w:szCs w:val="20"/>
        </w:rPr>
        <w:t>: TABELA DE CONTINGÊNCIA SOROLOGIA E NAT PARA H</w:t>
      </w:r>
      <w:r>
        <w:rPr>
          <w:rFonts w:ascii="Arial" w:hAnsi="Arial" w:cs="Arial"/>
          <w:sz w:val="20"/>
          <w:szCs w:val="20"/>
        </w:rPr>
        <w:t>C</w:t>
      </w:r>
      <w:r w:rsidRPr="00B648C4">
        <w:rPr>
          <w:rFonts w:ascii="Arial" w:hAnsi="Arial" w:cs="Arial"/>
          <w:sz w:val="20"/>
          <w:szCs w:val="20"/>
        </w:rPr>
        <w:t>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65"/>
        <w:gridCol w:w="622"/>
        <w:gridCol w:w="1116"/>
        <w:gridCol w:w="1094"/>
        <w:gridCol w:w="1163"/>
        <w:gridCol w:w="1191"/>
        <w:gridCol w:w="1157"/>
      </w:tblGrid>
      <w:tr w:rsidR="00F35E89" w:rsidRPr="003A34A6" w:rsidTr="00E20CF6">
        <w:trPr>
          <w:trHeight w:val="266"/>
        </w:trPr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E89" w:rsidRPr="003A34A6" w:rsidRDefault="00F35E89" w:rsidP="00E20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  <w:r w:rsidRPr="003A34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SOROLOGIA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35E89" w:rsidRPr="003A34A6" w:rsidTr="00E20CF6">
        <w:trPr>
          <w:trHeight w:val="266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35616E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REAGENTE</w:t>
            </w:r>
          </w:p>
        </w:tc>
        <w:tc>
          <w:tcPr>
            <w:tcW w:w="121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35616E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NÃO REAGENTE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F33" w:rsidRPr="003A34A6" w:rsidTr="00E20CF6">
        <w:trPr>
          <w:trHeight w:val="266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F7F33" w:rsidRPr="003A34A6" w:rsidRDefault="00CF7F33" w:rsidP="00CF7F3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F7F33" w:rsidRPr="003A34A6" w:rsidRDefault="00CF7F33" w:rsidP="00CF7F33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CF7F33" w:rsidRDefault="00CF7F33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CF7F33" w:rsidRPr="003A34A6" w:rsidRDefault="00CF7F33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CF7F33" w:rsidRDefault="00CF7F33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CF7F33" w:rsidRPr="003A34A6" w:rsidRDefault="00CF7F33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CF7F33" w:rsidRDefault="00CF7F33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CF7F33" w:rsidRPr="003A34A6" w:rsidRDefault="00CF7F33" w:rsidP="00CF7F33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35E89" w:rsidRPr="003A34A6" w:rsidTr="00E20CF6">
        <w:trPr>
          <w:trHeight w:val="266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NAT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REAGENTE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5E89" w:rsidRPr="003A34A6" w:rsidTr="00E20CF6">
        <w:trPr>
          <w:trHeight w:val="266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35616E">
            <w:pPr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NÃO REAGENTE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34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199.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99,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200.1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99,9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5E89" w:rsidRPr="003A34A6" w:rsidTr="00E20CF6">
        <w:trPr>
          <w:trHeight w:val="266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CF7F33" w:rsidP="00CF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5E89" w:rsidRPr="003A34A6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35616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34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199.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99,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200.204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89" w:rsidRPr="003A34A6" w:rsidRDefault="00F35E89" w:rsidP="00CF7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A6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F35E89" w:rsidRPr="00B648C4" w:rsidRDefault="00F35E89" w:rsidP="009D1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648C4">
        <w:rPr>
          <w:rFonts w:ascii="Arial" w:hAnsi="Arial" w:cs="Arial"/>
          <w:sz w:val="20"/>
          <w:szCs w:val="20"/>
        </w:rPr>
        <w:t>ONTE: DADOS TRABALHADOS PELA AUTORA</w:t>
      </w:r>
    </w:p>
    <w:p w:rsidR="00F35E89" w:rsidRPr="00144122" w:rsidRDefault="00F35E89" w:rsidP="0035616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35E89" w:rsidRPr="000A4D92" w:rsidRDefault="008A423D" w:rsidP="000A4D92">
      <w:pPr>
        <w:pStyle w:val="Recuodecorpodetexto"/>
        <w:tabs>
          <w:tab w:val="num" w:pos="0"/>
        </w:tabs>
        <w:ind w:firstLine="709"/>
        <w:rPr>
          <w:rFonts w:cs="Arial"/>
          <w:strike/>
        </w:rPr>
      </w:pPr>
      <w:r w:rsidRPr="000A4D92">
        <w:rPr>
          <w:rFonts w:cs="Arial"/>
        </w:rPr>
        <w:t>Assim como para o HIV, também no HCV o teste de Qui-quadrado apresenta significância estatística (p&lt;0,001) e os dados mostram relação de dependência entre os fatores.</w:t>
      </w:r>
      <w:r w:rsidR="000A4D92">
        <w:rPr>
          <w:rFonts w:cs="Arial"/>
          <w:strike/>
        </w:rPr>
        <w:t xml:space="preserve"> </w:t>
      </w:r>
      <w:r w:rsidR="00C07C0E" w:rsidRPr="00A83901">
        <w:rPr>
          <w:rFonts w:cs="Arial"/>
          <w:color w:val="000000" w:themeColor="text1"/>
        </w:rPr>
        <w:t xml:space="preserve">Ao quantificar a </w:t>
      </w:r>
      <w:r w:rsidR="00F35E89" w:rsidRPr="00A83901">
        <w:rPr>
          <w:rFonts w:cs="Arial"/>
          <w:color w:val="000000" w:themeColor="text1"/>
        </w:rPr>
        <w:t>probabilidade de ocorrência de sorologia e NAT, o resultado de riscos dos eventos ocorrer</w:t>
      </w:r>
      <w:r w:rsidR="00C07C0E" w:rsidRPr="00A83901">
        <w:rPr>
          <w:rFonts w:cs="Arial"/>
          <w:color w:val="000000" w:themeColor="text1"/>
        </w:rPr>
        <w:t>e</w:t>
      </w:r>
      <w:r w:rsidR="00F35E89" w:rsidRPr="00A83901">
        <w:rPr>
          <w:rFonts w:cs="Arial"/>
          <w:color w:val="000000" w:themeColor="text1"/>
        </w:rPr>
        <w:t xml:space="preserve">m de forma isolada ou </w:t>
      </w:r>
      <w:r w:rsidR="00A83901" w:rsidRPr="00A83901">
        <w:rPr>
          <w:rFonts w:cs="Arial"/>
          <w:color w:val="000000" w:themeColor="text1"/>
        </w:rPr>
        <w:t>simultânea</w:t>
      </w:r>
      <w:r w:rsidR="007D35D8" w:rsidRPr="00A83901">
        <w:rPr>
          <w:rFonts w:cs="Arial"/>
          <w:color w:val="000000" w:themeColor="text1"/>
        </w:rPr>
        <w:t xml:space="preserve"> é</w:t>
      </w:r>
      <w:r w:rsidR="00F35E89" w:rsidRPr="00A83901">
        <w:rPr>
          <w:rFonts w:cs="Arial"/>
          <w:color w:val="000000" w:themeColor="text1"/>
        </w:rPr>
        <w:t>: 4,7% (a/(a+c)) de chance de NAT e sorologia serem positivos ao mesmo tempo, 100% (d/(</w:t>
      </w:r>
      <w:r w:rsidR="00F35E89" w:rsidRPr="00951D69">
        <w:rPr>
          <w:rFonts w:cs="Arial"/>
          <w:color w:val="000000"/>
        </w:rPr>
        <w:t xml:space="preserve">b+d)) de NAT e sorologia serem negativos ao mesmo tempo, 0% (b/(b+d)) de sorologia negativa com NAT positivo (nenhuma janela imunológica) e 95,3% (c/(a+c)) de chance de sorologia positiva com NAT negativo.  Em comparativo com a pesquisa de Lima (2011), onde </w:t>
      </w:r>
      <w:r w:rsidR="00D34165" w:rsidRPr="00951D69">
        <w:rPr>
          <w:rFonts w:cs="Arial"/>
          <w:color w:val="000000"/>
        </w:rPr>
        <w:t xml:space="preserve">a probabilidade de ocorrência de sorologia e NAT </w:t>
      </w:r>
      <w:r w:rsidR="00D34165" w:rsidRPr="00951D69">
        <w:rPr>
          <w:rFonts w:cs="Arial"/>
          <w:color w:val="000000"/>
        </w:rPr>
        <w:lastRenderedPageBreak/>
        <w:t>simultaneamente foram</w:t>
      </w:r>
      <w:r w:rsidR="00F35E89" w:rsidRPr="00951D69">
        <w:rPr>
          <w:rFonts w:cs="Arial"/>
          <w:color w:val="000000"/>
        </w:rPr>
        <w:t xml:space="preserve"> de 13,63%, isto é, acontece 2,9 vezes mais que nesta pesquisa. </w:t>
      </w:r>
    </w:p>
    <w:p w:rsidR="00F35E89" w:rsidRPr="00E41C98" w:rsidRDefault="00F35E89" w:rsidP="006C48C9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07B95">
        <w:rPr>
          <w:rFonts w:ascii="Arial" w:hAnsi="Arial" w:cs="Arial"/>
        </w:rPr>
        <w:t>Os sítios testadores, determinados pelo Ministério da Saúde e pelo CONITEC, testaram, no período entre março de 2011 e julho de 2013, na plataforma multiplex HIV/HCV um total de 3.187.663 amostras, sendo encontradas 16 janelas para o HIV, (1 janela a cada 199.228 amostras) e 3 janelas para o HCV (1 a cada 1.062.554 amostras</w:t>
      </w:r>
      <w:r w:rsidRPr="00C24B92">
        <w:rPr>
          <w:rFonts w:ascii="Arial" w:hAnsi="Arial" w:cs="Arial"/>
          <w:color w:val="000000"/>
        </w:rPr>
        <w:t>)</w:t>
      </w:r>
      <w:r w:rsidR="00E41C98">
        <w:rPr>
          <w:rFonts w:ascii="Arial" w:hAnsi="Arial" w:cs="Arial"/>
          <w:color w:val="000000"/>
        </w:rPr>
        <w:t xml:space="preserve">. </w:t>
      </w:r>
      <w:r w:rsidRPr="00C24B92">
        <w:rPr>
          <w:rFonts w:ascii="Arial" w:hAnsi="Arial" w:cs="Arial"/>
          <w:color w:val="000000"/>
        </w:rPr>
        <w:t xml:space="preserve">Durante o período estudado no Hemepar, foi encontrada apenas 1 janela imunológica para HIV, com um rendimento de 1: 200.204, sendo levemente inferior aos resultados nacionais e nenhuma para o HCV, com um rendimento de 0: 200.204, corroborando com os resultados </w:t>
      </w:r>
      <w:r w:rsidR="00E41C98">
        <w:rPr>
          <w:rFonts w:ascii="Arial" w:hAnsi="Arial" w:cs="Arial"/>
          <w:color w:val="000000"/>
        </w:rPr>
        <w:t>encontrados no Brasil (tabela 8</w:t>
      </w:r>
      <w:r w:rsidRPr="00C24B92">
        <w:rPr>
          <w:rFonts w:ascii="Arial" w:hAnsi="Arial" w:cs="Arial"/>
          <w:color w:val="000000"/>
        </w:rPr>
        <w:t>)</w:t>
      </w:r>
      <w:r w:rsidR="00E41C98">
        <w:rPr>
          <w:rFonts w:ascii="Arial" w:hAnsi="Arial" w:cs="Arial"/>
          <w:color w:val="000000"/>
        </w:rPr>
        <w:t xml:space="preserve"> </w:t>
      </w:r>
      <w:r w:rsidR="00E41C98" w:rsidRPr="00C24B92">
        <w:rPr>
          <w:rFonts w:ascii="Arial" w:hAnsi="Arial" w:cs="Arial"/>
          <w:color w:val="000000"/>
        </w:rPr>
        <w:t>(BRASIL, 2014</w:t>
      </w:r>
      <w:r w:rsidR="00BA1393">
        <w:rPr>
          <w:rFonts w:ascii="Arial" w:hAnsi="Arial" w:cs="Arial"/>
          <w:color w:val="000000"/>
        </w:rPr>
        <w:t>a</w:t>
      </w:r>
      <w:r w:rsidR="00E41C98" w:rsidRPr="00C24B92">
        <w:rPr>
          <w:rFonts w:ascii="Arial" w:hAnsi="Arial" w:cs="Arial"/>
          <w:color w:val="000000"/>
        </w:rPr>
        <w:t xml:space="preserve">).  </w:t>
      </w:r>
    </w:p>
    <w:p w:rsidR="00144122" w:rsidRPr="00E944FE" w:rsidRDefault="00144122" w:rsidP="00E944F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35E89" w:rsidRPr="0057756F" w:rsidRDefault="00F35E89" w:rsidP="009D13A5">
      <w:pPr>
        <w:pStyle w:val="Recuodecorpodetexto"/>
        <w:tabs>
          <w:tab w:val="num" w:pos="0"/>
        </w:tabs>
        <w:spacing w:line="240" w:lineRule="auto"/>
        <w:ind w:firstLine="0"/>
        <w:jc w:val="left"/>
        <w:rPr>
          <w:rFonts w:cs="Arial"/>
        </w:rPr>
      </w:pPr>
      <w:r w:rsidRPr="00455211">
        <w:rPr>
          <w:rFonts w:cs="Arial"/>
          <w:bCs/>
          <w:color w:val="000000"/>
          <w:sz w:val="20"/>
          <w:szCs w:val="20"/>
        </w:rPr>
        <w:t xml:space="preserve">TABELA </w:t>
      </w:r>
      <w:r w:rsidR="00C84298">
        <w:rPr>
          <w:rFonts w:cs="Arial"/>
          <w:bCs/>
          <w:color w:val="000000"/>
          <w:sz w:val="20"/>
          <w:szCs w:val="20"/>
        </w:rPr>
        <w:t>8</w:t>
      </w:r>
      <w:r w:rsidRPr="00455211">
        <w:rPr>
          <w:rFonts w:cs="Arial"/>
          <w:bCs/>
          <w:color w:val="000000"/>
          <w:sz w:val="20"/>
          <w:szCs w:val="20"/>
        </w:rPr>
        <w:t>: ESTUDOS PARA DETECÇÃO DE JANELA IMUNOLÓGICA PARA HIV E HCV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560"/>
        <w:gridCol w:w="1701"/>
        <w:gridCol w:w="1949"/>
      </w:tblGrid>
      <w:tr w:rsidR="00F35E89" w:rsidRPr="00455211" w:rsidTr="00E20CF6">
        <w:trPr>
          <w:trHeight w:val="267"/>
        </w:trPr>
        <w:tc>
          <w:tcPr>
            <w:tcW w:w="817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bCs/>
                <w:color w:val="000000"/>
                <w:sz w:val="20"/>
                <w:szCs w:val="20"/>
              </w:rPr>
              <w:t>Hemepar, 2014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BRASIL, 2014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 xml:space="preserve">LEVI </w:t>
            </w:r>
            <w:r w:rsidRPr="00455211">
              <w:rPr>
                <w:rFonts w:cs="Arial"/>
                <w:i/>
                <w:color w:val="000000"/>
                <w:sz w:val="20"/>
                <w:szCs w:val="20"/>
              </w:rPr>
              <w:t xml:space="preserve">et al, </w:t>
            </w:r>
            <w:r w:rsidRPr="00455211">
              <w:rPr>
                <w:rFonts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 xml:space="preserve">Stramer </w:t>
            </w:r>
            <w:r w:rsidRPr="00455211">
              <w:rPr>
                <w:rFonts w:cs="Arial"/>
                <w:i/>
                <w:color w:val="000000"/>
                <w:sz w:val="20"/>
                <w:szCs w:val="20"/>
              </w:rPr>
              <w:t>et al</w:t>
            </w:r>
            <w:r w:rsidRPr="00455211">
              <w:rPr>
                <w:rFonts w:cs="Arial"/>
                <w:color w:val="000000"/>
                <w:sz w:val="20"/>
                <w:szCs w:val="20"/>
              </w:rPr>
              <w:t>, 2004</w:t>
            </w:r>
          </w:p>
        </w:tc>
      </w:tr>
      <w:tr w:rsidR="00F35E89" w:rsidRPr="00455211" w:rsidTr="00E20CF6">
        <w:trPr>
          <w:trHeight w:val="267"/>
        </w:trPr>
        <w:tc>
          <w:tcPr>
            <w:tcW w:w="817" w:type="dxa"/>
          </w:tcPr>
          <w:p w:rsidR="00F35E89" w:rsidRPr="00455211" w:rsidRDefault="0035616E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</w:t>
            </w:r>
            <w:r w:rsidR="00F35E89" w:rsidRPr="00455211">
              <w:rPr>
                <w:rFonts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AMOSTRAS</w:t>
            </w:r>
          </w:p>
        </w:tc>
        <w:tc>
          <w:tcPr>
            <w:tcW w:w="1701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200.204</w:t>
            </w:r>
          </w:p>
        </w:tc>
        <w:tc>
          <w:tcPr>
            <w:tcW w:w="1560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3.187.663</w:t>
            </w:r>
          </w:p>
        </w:tc>
        <w:tc>
          <w:tcPr>
            <w:tcW w:w="1701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37.164.054</w:t>
            </w:r>
          </w:p>
        </w:tc>
      </w:tr>
      <w:tr w:rsidR="00F35E89" w:rsidRPr="00455211" w:rsidTr="00E20CF6">
        <w:trPr>
          <w:trHeight w:val="267"/>
        </w:trPr>
        <w:tc>
          <w:tcPr>
            <w:tcW w:w="817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JANELAS</w:t>
            </w:r>
          </w:p>
        </w:tc>
        <w:tc>
          <w:tcPr>
            <w:tcW w:w="1701" w:type="dxa"/>
            <w:tcBorders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F35E89" w:rsidRPr="00455211" w:rsidTr="00E20CF6">
        <w:trPr>
          <w:trHeight w:val="267"/>
        </w:trPr>
        <w:tc>
          <w:tcPr>
            <w:tcW w:w="817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PROPORÇÃO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1: 200.204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1: </w:t>
            </w:r>
            <w:r w:rsidRPr="00455211">
              <w:rPr>
                <w:rFonts w:cs="Arial"/>
                <w:color w:val="000000"/>
                <w:sz w:val="20"/>
                <w:szCs w:val="20"/>
              </w:rPr>
              <w:t>199.228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1: 204.951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1: 3.097.004</w:t>
            </w:r>
          </w:p>
        </w:tc>
      </w:tr>
      <w:tr w:rsidR="00F35E89" w:rsidRPr="00455211" w:rsidTr="00E20CF6">
        <w:trPr>
          <w:trHeight w:val="267"/>
        </w:trPr>
        <w:tc>
          <w:tcPr>
            <w:tcW w:w="817" w:type="dxa"/>
          </w:tcPr>
          <w:p w:rsidR="00F35E89" w:rsidRPr="00455211" w:rsidRDefault="0035616E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</w:t>
            </w:r>
            <w:r w:rsidR="00F35E89" w:rsidRPr="00455211">
              <w:rPr>
                <w:rFonts w:cs="Arial"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AMOSTRAS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200.204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3.187.663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39.721.404</w:t>
            </w:r>
          </w:p>
        </w:tc>
      </w:tr>
      <w:tr w:rsidR="00F35E89" w:rsidRPr="00455211" w:rsidTr="00E20CF6">
        <w:trPr>
          <w:trHeight w:val="267"/>
        </w:trPr>
        <w:tc>
          <w:tcPr>
            <w:tcW w:w="817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JANELAS</w:t>
            </w:r>
          </w:p>
        </w:tc>
        <w:tc>
          <w:tcPr>
            <w:tcW w:w="1701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170</w:t>
            </w:r>
          </w:p>
        </w:tc>
      </w:tr>
      <w:tr w:rsidR="00F35E89" w:rsidRPr="00455211" w:rsidTr="00E20CF6">
        <w:trPr>
          <w:trHeight w:val="267"/>
        </w:trPr>
        <w:tc>
          <w:tcPr>
            <w:tcW w:w="817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PROPORÇÃO</w:t>
            </w:r>
          </w:p>
        </w:tc>
        <w:tc>
          <w:tcPr>
            <w:tcW w:w="1701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0: 200.204</w:t>
            </w:r>
          </w:p>
        </w:tc>
        <w:tc>
          <w:tcPr>
            <w:tcW w:w="1560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1: </w:t>
            </w:r>
            <w:r w:rsidRPr="00455211">
              <w:rPr>
                <w:rFonts w:cs="Arial"/>
                <w:color w:val="000000"/>
                <w:sz w:val="20"/>
                <w:szCs w:val="20"/>
              </w:rPr>
              <w:t>1.062.554</w:t>
            </w:r>
          </w:p>
        </w:tc>
        <w:tc>
          <w:tcPr>
            <w:tcW w:w="1701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1: 271.387</w:t>
            </w:r>
          </w:p>
        </w:tc>
        <w:tc>
          <w:tcPr>
            <w:tcW w:w="1949" w:type="dxa"/>
          </w:tcPr>
          <w:p w:rsidR="00F35E89" w:rsidRPr="00455211" w:rsidRDefault="00F35E89" w:rsidP="0035616E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5211">
              <w:rPr>
                <w:rFonts w:cs="Arial"/>
                <w:color w:val="000000"/>
                <w:sz w:val="20"/>
                <w:szCs w:val="20"/>
              </w:rPr>
              <w:t>1:233.655</w:t>
            </w:r>
          </w:p>
        </w:tc>
      </w:tr>
    </w:tbl>
    <w:p w:rsidR="00F35E89" w:rsidRDefault="00F35E89" w:rsidP="009D13A5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  <w:sz w:val="20"/>
          <w:szCs w:val="20"/>
        </w:rPr>
      </w:pPr>
      <w:r w:rsidRPr="0068500D">
        <w:rPr>
          <w:rFonts w:cs="Arial"/>
          <w:sz w:val="20"/>
          <w:szCs w:val="20"/>
        </w:rPr>
        <w:t>FONTE: DADOS COMPILADOS PELA AUTORA</w:t>
      </w:r>
    </w:p>
    <w:p w:rsidR="00144122" w:rsidRPr="0068500D" w:rsidRDefault="00144122" w:rsidP="0035616E">
      <w:pPr>
        <w:pStyle w:val="Recuodecorpodetexto"/>
        <w:tabs>
          <w:tab w:val="num" w:pos="0"/>
        </w:tabs>
        <w:spacing w:line="240" w:lineRule="auto"/>
        <w:ind w:firstLine="709"/>
        <w:rPr>
          <w:rFonts w:cs="Arial"/>
          <w:sz w:val="20"/>
          <w:szCs w:val="20"/>
        </w:rPr>
      </w:pPr>
    </w:p>
    <w:p w:rsidR="00F35E89" w:rsidRPr="00C24B92" w:rsidRDefault="00144122" w:rsidP="006C48C9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="00F35E89" w:rsidRPr="00907B95">
        <w:rPr>
          <w:rFonts w:ascii="Arial" w:hAnsi="Arial" w:cs="Arial"/>
        </w:rPr>
        <w:t xml:space="preserve">utro levantamento, realizado no Brasil, analisou o rendimento do teste NAT em diferentes plataformas e encontrou um índice concordante para o HCV com 1 janela a cada 271.387 amostras e para o HIV 1 janela a cada 204.951, discrepante </w:t>
      </w:r>
      <w:r w:rsidR="00F35E89" w:rsidRPr="0057756F">
        <w:rPr>
          <w:rFonts w:ascii="Arial" w:hAnsi="Arial" w:cs="Arial"/>
        </w:rPr>
        <w:t>com o resultado no Hemepar</w:t>
      </w:r>
      <w:r w:rsidR="00F35E89">
        <w:rPr>
          <w:rFonts w:ascii="Arial" w:hAnsi="Arial" w:cs="Arial"/>
        </w:rPr>
        <w:t xml:space="preserve"> </w:t>
      </w:r>
      <w:r w:rsidR="00AA6090">
        <w:rPr>
          <w:rFonts w:ascii="Arial" w:hAnsi="Arial" w:cs="Arial"/>
          <w:color w:val="000000"/>
        </w:rPr>
        <w:t>(tabela 8</w:t>
      </w:r>
      <w:r w:rsidR="00F35E89" w:rsidRPr="00C24B92">
        <w:rPr>
          <w:rFonts w:ascii="Arial" w:hAnsi="Arial" w:cs="Arial"/>
          <w:color w:val="000000"/>
        </w:rPr>
        <w:t xml:space="preserve">), já que para detecção de uma janela foi necessário um menor número de amostras, 200.204 (LEVI </w:t>
      </w:r>
      <w:r w:rsidR="00F35E89" w:rsidRPr="004A56CF">
        <w:rPr>
          <w:rFonts w:ascii="Arial" w:hAnsi="Arial" w:cs="Arial"/>
          <w:i/>
          <w:color w:val="000000"/>
        </w:rPr>
        <w:t>et al</w:t>
      </w:r>
      <w:r w:rsidR="00F35E89" w:rsidRPr="00C24B92">
        <w:rPr>
          <w:rFonts w:ascii="Arial" w:hAnsi="Arial" w:cs="Arial"/>
          <w:color w:val="000000"/>
        </w:rPr>
        <w:t>, 2013).</w:t>
      </w:r>
    </w:p>
    <w:p w:rsidR="00F35E89" w:rsidRPr="00D34165" w:rsidRDefault="00F35E89" w:rsidP="00D34165">
      <w:pPr>
        <w:spacing w:line="360" w:lineRule="auto"/>
        <w:ind w:firstLine="709"/>
        <w:jc w:val="both"/>
        <w:rPr>
          <w:rFonts w:ascii="Arial" w:hAnsi="Arial" w:cs="Arial"/>
        </w:rPr>
      </w:pPr>
      <w:r w:rsidRPr="00C24B92">
        <w:rPr>
          <w:rFonts w:ascii="Arial" w:hAnsi="Arial" w:cs="Arial"/>
          <w:color w:val="000000"/>
        </w:rPr>
        <w:t xml:space="preserve">Em </w:t>
      </w:r>
      <w:r w:rsidRPr="00D34165">
        <w:rPr>
          <w:rFonts w:ascii="Arial" w:hAnsi="Arial" w:cs="Arial"/>
        </w:rPr>
        <w:t xml:space="preserve">levantamento </w:t>
      </w:r>
      <w:r w:rsidR="00F94D92" w:rsidRPr="00D34165">
        <w:rPr>
          <w:rFonts w:ascii="Arial" w:hAnsi="Arial" w:cs="Arial"/>
        </w:rPr>
        <w:t xml:space="preserve">de NAT </w:t>
      </w:r>
      <w:r w:rsidRPr="00D34165">
        <w:rPr>
          <w:rFonts w:ascii="Arial" w:hAnsi="Arial" w:cs="Arial"/>
        </w:rPr>
        <w:t xml:space="preserve">realizado </w:t>
      </w:r>
      <w:r w:rsidR="00F94D92" w:rsidRPr="00D34165">
        <w:rPr>
          <w:rFonts w:ascii="Arial" w:hAnsi="Arial" w:cs="Arial"/>
        </w:rPr>
        <w:t>em amostras</w:t>
      </w:r>
      <w:r w:rsidR="00F94D92" w:rsidRPr="0057756F">
        <w:rPr>
          <w:rFonts w:ascii="Arial" w:hAnsi="Arial" w:cs="Arial"/>
        </w:rPr>
        <w:t xml:space="preserve"> com sorologia negativa para HIV e HCV</w:t>
      </w:r>
      <w:r w:rsidR="00F94D92">
        <w:rPr>
          <w:rFonts w:ascii="Arial" w:hAnsi="Arial" w:cs="Arial"/>
        </w:rPr>
        <w:t xml:space="preserve"> </w:t>
      </w:r>
      <w:r w:rsidR="00F94D92" w:rsidRPr="0057756F">
        <w:rPr>
          <w:rFonts w:ascii="Arial" w:hAnsi="Arial" w:cs="Arial"/>
        </w:rPr>
        <w:t>em grandes bancos de sangue americanos de Março de 1999 e Abril de 2002,</w:t>
      </w:r>
      <w:r>
        <w:rPr>
          <w:rFonts w:ascii="Arial" w:hAnsi="Arial" w:cs="Arial"/>
        </w:rPr>
        <w:t xml:space="preserve"> </w:t>
      </w:r>
      <w:r w:rsidRPr="0057756F">
        <w:rPr>
          <w:rFonts w:ascii="Arial" w:hAnsi="Arial" w:cs="Arial"/>
        </w:rPr>
        <w:t xml:space="preserve">foi encontrado para HIV, 1 janela a cada 3,1 milhões de </w:t>
      </w:r>
      <w:r w:rsidRPr="00BC5CFA">
        <w:rPr>
          <w:rFonts w:ascii="Arial" w:hAnsi="Arial" w:cs="Arial"/>
        </w:rPr>
        <w:t xml:space="preserve">doações, resultado que se </w:t>
      </w:r>
      <w:r w:rsidRPr="00A83901">
        <w:rPr>
          <w:rFonts w:ascii="Arial" w:hAnsi="Arial" w:cs="Arial"/>
          <w:color w:val="000000" w:themeColor="text1"/>
        </w:rPr>
        <w:t xml:space="preserve">mostrou </w:t>
      </w:r>
      <w:r w:rsidR="00E979B4" w:rsidRPr="00A83901">
        <w:rPr>
          <w:rFonts w:ascii="Arial" w:hAnsi="Arial" w:cs="Arial"/>
          <w:color w:val="000000" w:themeColor="text1"/>
        </w:rPr>
        <w:t>menos frequente</w:t>
      </w:r>
      <w:r w:rsidRPr="00A83901">
        <w:rPr>
          <w:rFonts w:ascii="Arial" w:hAnsi="Arial" w:cs="Arial"/>
          <w:color w:val="000000" w:themeColor="text1"/>
        </w:rPr>
        <w:t xml:space="preserve"> </w:t>
      </w:r>
      <w:r w:rsidR="00E979B4" w:rsidRPr="00A83901">
        <w:rPr>
          <w:rFonts w:ascii="Arial" w:hAnsi="Arial" w:cs="Arial"/>
          <w:color w:val="000000" w:themeColor="text1"/>
        </w:rPr>
        <w:t>a</w:t>
      </w:r>
      <w:r w:rsidRPr="00A83901">
        <w:rPr>
          <w:rFonts w:ascii="Arial" w:hAnsi="Arial" w:cs="Arial"/>
          <w:color w:val="000000" w:themeColor="text1"/>
        </w:rPr>
        <w:t xml:space="preserve">os encontrados no Hemepar (1:200.204), e para HCV 1 janela a cada 230.000 doações, </w:t>
      </w:r>
      <w:r w:rsidR="008A423D" w:rsidRPr="00A83901">
        <w:rPr>
          <w:rFonts w:ascii="Arial" w:hAnsi="Arial" w:cs="Arial"/>
          <w:color w:val="000000" w:themeColor="text1"/>
        </w:rPr>
        <w:t>resultado mais</w:t>
      </w:r>
      <w:r w:rsidR="00E979B4" w:rsidRPr="00A83901">
        <w:rPr>
          <w:rFonts w:ascii="Arial" w:hAnsi="Arial" w:cs="Arial"/>
          <w:color w:val="000000" w:themeColor="text1"/>
        </w:rPr>
        <w:t xml:space="preserve"> </w:t>
      </w:r>
      <w:r w:rsidR="00A83901" w:rsidRPr="00A83901">
        <w:rPr>
          <w:rFonts w:ascii="Arial" w:hAnsi="Arial" w:cs="Arial"/>
          <w:color w:val="000000" w:themeColor="text1"/>
        </w:rPr>
        <w:t>freq</w:t>
      </w:r>
      <w:r w:rsidR="00A83901">
        <w:rPr>
          <w:rFonts w:ascii="Arial" w:hAnsi="Arial" w:cs="Arial"/>
          <w:color w:val="000000" w:themeColor="text1"/>
        </w:rPr>
        <w:t>u</w:t>
      </w:r>
      <w:r w:rsidR="00A83901" w:rsidRPr="00A83901">
        <w:rPr>
          <w:rFonts w:ascii="Arial" w:hAnsi="Arial" w:cs="Arial"/>
          <w:color w:val="000000" w:themeColor="text1"/>
        </w:rPr>
        <w:t>ente</w:t>
      </w:r>
      <w:r w:rsidR="00E979B4" w:rsidRPr="00A83901">
        <w:rPr>
          <w:rFonts w:ascii="Arial" w:hAnsi="Arial" w:cs="Arial"/>
          <w:color w:val="000000" w:themeColor="text1"/>
        </w:rPr>
        <w:t xml:space="preserve"> do que </w:t>
      </w:r>
      <w:r w:rsidRPr="00A83901">
        <w:rPr>
          <w:rFonts w:ascii="Arial" w:hAnsi="Arial" w:cs="Arial"/>
          <w:color w:val="000000" w:themeColor="text1"/>
        </w:rPr>
        <w:t xml:space="preserve">no Hemepar, onde não foi encontrada nenhuma janela </w:t>
      </w:r>
      <w:r w:rsidR="000C28D4" w:rsidRPr="00A83901">
        <w:rPr>
          <w:rFonts w:ascii="Arial" w:hAnsi="Arial" w:cs="Arial"/>
          <w:color w:val="000000" w:themeColor="text1"/>
        </w:rPr>
        <w:t>(tabela 8</w:t>
      </w:r>
      <w:r w:rsidRPr="00A83901">
        <w:rPr>
          <w:rFonts w:ascii="Arial" w:hAnsi="Arial" w:cs="Arial"/>
          <w:color w:val="000000" w:themeColor="text1"/>
        </w:rPr>
        <w:t xml:space="preserve">) (STRAMER </w:t>
      </w:r>
      <w:r w:rsidRPr="00A83901">
        <w:rPr>
          <w:rFonts w:ascii="Arial" w:hAnsi="Arial" w:cs="Arial"/>
          <w:i/>
          <w:color w:val="000000" w:themeColor="text1"/>
        </w:rPr>
        <w:t>et al</w:t>
      </w:r>
      <w:r w:rsidRPr="00A83901">
        <w:rPr>
          <w:rFonts w:ascii="Arial" w:hAnsi="Arial" w:cs="Arial"/>
          <w:color w:val="000000" w:themeColor="text1"/>
        </w:rPr>
        <w:t xml:space="preserve">, 2004). Enquanto no Brasil, </w:t>
      </w:r>
      <w:r w:rsidR="00044468" w:rsidRPr="00A83901">
        <w:rPr>
          <w:rFonts w:ascii="Arial" w:hAnsi="Arial" w:cs="Arial"/>
          <w:color w:val="000000" w:themeColor="text1"/>
        </w:rPr>
        <w:t xml:space="preserve">pesquisas onde se </w:t>
      </w:r>
      <w:r w:rsidR="00E979B4" w:rsidRPr="00A83901">
        <w:rPr>
          <w:rFonts w:ascii="Arial" w:hAnsi="Arial" w:cs="Arial"/>
          <w:color w:val="000000" w:themeColor="text1"/>
        </w:rPr>
        <w:t xml:space="preserve">utilizou </w:t>
      </w:r>
      <w:r w:rsidRPr="00A83901">
        <w:rPr>
          <w:rFonts w:ascii="Arial" w:hAnsi="Arial" w:cs="Arial"/>
          <w:color w:val="000000" w:themeColor="text1"/>
        </w:rPr>
        <w:t>a plataforma NAT biomanguinhos (Hemepar, 2014 e BRASIL, 2014</w:t>
      </w:r>
      <w:r w:rsidR="00BA1393">
        <w:rPr>
          <w:rFonts w:ascii="Arial" w:hAnsi="Arial" w:cs="Arial"/>
          <w:color w:val="000000" w:themeColor="text1"/>
        </w:rPr>
        <w:t>a</w:t>
      </w:r>
      <w:r w:rsidRPr="00A83901">
        <w:rPr>
          <w:rFonts w:ascii="Arial" w:hAnsi="Arial" w:cs="Arial"/>
          <w:color w:val="000000" w:themeColor="text1"/>
        </w:rPr>
        <w:t>), as proporções se encontram</w:t>
      </w:r>
      <w:r w:rsidRPr="00D34165">
        <w:rPr>
          <w:rFonts w:ascii="Arial" w:hAnsi="Arial" w:cs="Arial"/>
        </w:rPr>
        <w:t xml:space="preserve"> concordantes para o HIV, onde o total de amostras a serem testadas para a detecção de uma janela gira em torno das 200.000. Já para o HCV, no levantamento do Hemepar, o resultado encontrado </w:t>
      </w:r>
      <w:r w:rsidR="00F92D04" w:rsidRPr="00D34165">
        <w:rPr>
          <w:rFonts w:ascii="Arial" w:hAnsi="Arial" w:cs="Arial"/>
        </w:rPr>
        <w:t>está</w:t>
      </w:r>
      <w:r w:rsidRPr="00D34165">
        <w:rPr>
          <w:rFonts w:ascii="Arial" w:hAnsi="Arial" w:cs="Arial"/>
        </w:rPr>
        <w:t xml:space="preserve"> dentro do esperado, já que de acordo com </w:t>
      </w:r>
      <w:r w:rsidRPr="00D34165">
        <w:rPr>
          <w:rFonts w:ascii="Arial" w:hAnsi="Arial" w:cs="Arial"/>
        </w:rPr>
        <w:lastRenderedPageBreak/>
        <w:t xml:space="preserve">Brasil (2014) é necessário se testar mais de 1.000.000 de amostras para </w:t>
      </w:r>
      <w:r w:rsidR="007E5462" w:rsidRPr="00D34165">
        <w:rPr>
          <w:rFonts w:ascii="Arial" w:hAnsi="Arial" w:cs="Arial"/>
        </w:rPr>
        <w:t xml:space="preserve">detecção </w:t>
      </w:r>
      <w:r w:rsidRPr="00D34165">
        <w:rPr>
          <w:rFonts w:ascii="Arial" w:hAnsi="Arial" w:cs="Arial"/>
        </w:rPr>
        <w:t xml:space="preserve">de janela. </w:t>
      </w:r>
      <w:r w:rsidR="00044468" w:rsidRPr="00D34165">
        <w:rPr>
          <w:rFonts w:ascii="Arial" w:hAnsi="Arial" w:cs="Arial"/>
        </w:rPr>
        <w:t>E</w:t>
      </w:r>
      <w:r w:rsidR="00EB3275" w:rsidRPr="00D34165">
        <w:rPr>
          <w:rFonts w:ascii="Arial" w:hAnsi="Arial" w:cs="Arial"/>
        </w:rPr>
        <w:t>m análise de plataformas diferentes</w:t>
      </w:r>
      <w:r w:rsidRPr="00D34165">
        <w:rPr>
          <w:rFonts w:ascii="Arial" w:hAnsi="Arial" w:cs="Arial"/>
        </w:rPr>
        <w:t xml:space="preserve">, a proporção é similar para o HIV (1 janela para 204.951 amostras) e discrepante para HCV (1 janela para 271.387 amostras). Já se comparado com o estudo de Stramer </w:t>
      </w:r>
      <w:r w:rsidRPr="00D34165">
        <w:rPr>
          <w:rFonts w:ascii="Arial" w:hAnsi="Arial" w:cs="Arial"/>
          <w:i/>
        </w:rPr>
        <w:t xml:space="preserve">et al </w:t>
      </w:r>
      <w:r w:rsidRPr="00D34165">
        <w:rPr>
          <w:rFonts w:ascii="Arial" w:hAnsi="Arial" w:cs="Arial"/>
        </w:rPr>
        <w:t>(2</w:t>
      </w:r>
      <w:r w:rsidR="00044468" w:rsidRPr="00D34165">
        <w:rPr>
          <w:rFonts w:ascii="Arial" w:hAnsi="Arial" w:cs="Arial"/>
        </w:rPr>
        <w:t xml:space="preserve">004), a proporção é </w:t>
      </w:r>
      <w:r w:rsidR="00EB2173" w:rsidRPr="00D34165">
        <w:rPr>
          <w:rFonts w:ascii="Arial" w:hAnsi="Arial" w:cs="Arial"/>
        </w:rPr>
        <w:t>discrepante, pois</w:t>
      </w:r>
      <w:r w:rsidR="00044468" w:rsidRPr="00D34165">
        <w:rPr>
          <w:rFonts w:ascii="Arial" w:hAnsi="Arial" w:cs="Arial"/>
        </w:rPr>
        <w:t xml:space="preserve"> foi necessário um </w:t>
      </w:r>
      <w:r w:rsidRPr="00D34165">
        <w:rPr>
          <w:rFonts w:ascii="Arial" w:hAnsi="Arial" w:cs="Arial"/>
        </w:rPr>
        <w:t>maior número de amostras para detecção de uma janela para HIV (3.097.004) do que para o HCV (233.655), diferentemente do levantamento nacional (199.228 para o HIV e 1.062.554 para o HCV) (tabela</w:t>
      </w:r>
      <w:r w:rsidR="00317DB4" w:rsidRPr="00D34165">
        <w:rPr>
          <w:rFonts w:ascii="Arial" w:hAnsi="Arial" w:cs="Arial"/>
        </w:rPr>
        <w:t xml:space="preserve"> 8</w:t>
      </w:r>
      <w:r w:rsidRPr="00D34165">
        <w:rPr>
          <w:rFonts w:ascii="Arial" w:hAnsi="Arial" w:cs="Arial"/>
        </w:rPr>
        <w:t xml:space="preserve">). </w:t>
      </w:r>
    </w:p>
    <w:p w:rsidR="003F26F6" w:rsidRPr="00044468" w:rsidRDefault="0071208B" w:rsidP="00044468">
      <w:pPr>
        <w:pStyle w:val="Recuodecorpodetexto"/>
        <w:tabs>
          <w:tab w:val="num" w:pos="0"/>
        </w:tabs>
        <w:ind w:firstLine="709"/>
        <w:rPr>
          <w:rFonts w:cs="Arial"/>
          <w:bCs/>
          <w:sz w:val="20"/>
          <w:szCs w:val="20"/>
        </w:rPr>
      </w:pPr>
      <w:r w:rsidRPr="005F7D1C">
        <w:rPr>
          <w:rFonts w:cs="Arial"/>
        </w:rPr>
        <w:t>A</w:t>
      </w:r>
      <w:r w:rsidR="00F35E89" w:rsidRPr="005F7D1C">
        <w:rPr>
          <w:rFonts w:cs="Arial"/>
        </w:rPr>
        <w:t xml:space="preserve"> </w:t>
      </w:r>
      <w:r w:rsidR="00EB3275" w:rsidRPr="005F7D1C">
        <w:rPr>
          <w:rFonts w:cs="Arial"/>
        </w:rPr>
        <w:t>tabela 9 demonstra</w:t>
      </w:r>
      <w:r w:rsidR="006C48C9" w:rsidRPr="005F7D1C">
        <w:rPr>
          <w:rFonts w:cs="Arial"/>
        </w:rPr>
        <w:t xml:space="preserve"> a</w:t>
      </w:r>
      <w:r w:rsidR="00EB3275" w:rsidRPr="005F7D1C">
        <w:rPr>
          <w:rFonts w:cs="Arial"/>
        </w:rPr>
        <w:t xml:space="preserve"> evolução</w:t>
      </w:r>
      <w:r w:rsidR="006C48C9" w:rsidRPr="005F7D1C">
        <w:rPr>
          <w:rFonts w:cs="Arial"/>
        </w:rPr>
        <w:t xml:space="preserve"> da</w:t>
      </w:r>
      <w:r w:rsidR="00EB3275" w:rsidRPr="005F7D1C">
        <w:rPr>
          <w:rFonts w:cs="Arial"/>
        </w:rPr>
        <w:t xml:space="preserve"> </w:t>
      </w:r>
      <w:r w:rsidR="00F35E89" w:rsidRPr="005F7D1C">
        <w:rPr>
          <w:rFonts w:cs="Arial"/>
        </w:rPr>
        <w:t xml:space="preserve">janela imunológica </w:t>
      </w:r>
      <w:r w:rsidR="006C48C9" w:rsidRPr="005F7D1C">
        <w:rPr>
          <w:rFonts w:cs="Arial"/>
        </w:rPr>
        <w:t xml:space="preserve">encontrada </w:t>
      </w:r>
      <w:r w:rsidR="00F35E89" w:rsidRPr="005F7D1C">
        <w:rPr>
          <w:rFonts w:cs="Arial"/>
        </w:rPr>
        <w:t>para o vírus HIV</w:t>
      </w:r>
      <w:r w:rsidR="006C48C9" w:rsidRPr="005F7D1C">
        <w:rPr>
          <w:rFonts w:cs="Arial"/>
        </w:rPr>
        <w:t>,</w:t>
      </w:r>
      <w:r w:rsidRPr="005F7D1C">
        <w:rPr>
          <w:rFonts w:cs="Arial"/>
        </w:rPr>
        <w:t xml:space="preserve"> </w:t>
      </w:r>
      <w:r w:rsidR="006C48C9" w:rsidRPr="005F7D1C">
        <w:rPr>
          <w:rFonts w:cs="Arial"/>
        </w:rPr>
        <w:t xml:space="preserve">da </w:t>
      </w:r>
      <w:r w:rsidR="00F35E89" w:rsidRPr="005F7D1C">
        <w:rPr>
          <w:rFonts w:cs="Arial"/>
        </w:rPr>
        <w:t xml:space="preserve">detecção até a </w:t>
      </w:r>
      <w:r w:rsidR="006C48C9" w:rsidRPr="005F7D1C">
        <w:rPr>
          <w:rFonts w:cs="Arial"/>
        </w:rPr>
        <w:t>soro conversão</w:t>
      </w:r>
      <w:r w:rsidR="00C84298" w:rsidRPr="005F7D1C">
        <w:rPr>
          <w:rFonts w:cs="Arial"/>
        </w:rPr>
        <w:t xml:space="preserve">, </w:t>
      </w:r>
      <w:r w:rsidRPr="005F7D1C">
        <w:rPr>
          <w:rFonts w:cs="Arial"/>
        </w:rPr>
        <w:t xml:space="preserve">excluindo-se </w:t>
      </w:r>
      <w:r w:rsidR="006C48C9" w:rsidRPr="005F7D1C">
        <w:rPr>
          <w:rFonts w:cs="Arial"/>
        </w:rPr>
        <w:t>o</w:t>
      </w:r>
      <w:r w:rsidRPr="005F7D1C">
        <w:rPr>
          <w:rFonts w:cs="Arial"/>
        </w:rPr>
        <w:t xml:space="preserve"> resultado falso-positivo</w:t>
      </w:r>
      <w:r w:rsidR="00144122" w:rsidRPr="005F7D1C">
        <w:rPr>
          <w:rFonts w:cs="Arial"/>
        </w:rPr>
        <w:t>.</w:t>
      </w:r>
    </w:p>
    <w:p w:rsidR="00144122" w:rsidRPr="003C1D04" w:rsidRDefault="00144122" w:rsidP="003C1D0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35E89" w:rsidRPr="00044468" w:rsidRDefault="00F35E89" w:rsidP="009D13A5">
      <w:pPr>
        <w:pStyle w:val="Recuodecorpodetexto"/>
        <w:spacing w:line="240" w:lineRule="auto"/>
        <w:ind w:firstLine="0"/>
        <w:rPr>
          <w:rFonts w:cs="Arial"/>
          <w:sz w:val="20"/>
          <w:szCs w:val="20"/>
        </w:rPr>
      </w:pPr>
      <w:r w:rsidRPr="00044468">
        <w:rPr>
          <w:rFonts w:cs="Arial"/>
          <w:bCs/>
          <w:color w:val="000000"/>
          <w:sz w:val="20"/>
          <w:szCs w:val="20"/>
        </w:rPr>
        <w:t xml:space="preserve">TABELA </w:t>
      </w:r>
      <w:r w:rsidR="00C84298" w:rsidRPr="00044468">
        <w:rPr>
          <w:rFonts w:cs="Arial"/>
          <w:bCs/>
          <w:color w:val="000000"/>
          <w:sz w:val="20"/>
          <w:szCs w:val="20"/>
        </w:rPr>
        <w:t>9</w:t>
      </w:r>
      <w:r w:rsidRPr="00044468">
        <w:rPr>
          <w:rFonts w:cs="Arial"/>
          <w:bCs/>
          <w:color w:val="000000"/>
          <w:sz w:val="20"/>
          <w:szCs w:val="20"/>
        </w:rPr>
        <w:t>: EVOLUÇÃO DOS TESTES NA JANELA EM SOROCONVERSÃO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43"/>
        <w:gridCol w:w="284"/>
        <w:gridCol w:w="990"/>
        <w:gridCol w:w="994"/>
        <w:gridCol w:w="2409"/>
        <w:gridCol w:w="3367"/>
      </w:tblGrid>
      <w:tr w:rsidR="00F35E89" w:rsidRPr="00044468" w:rsidTr="00E20CF6">
        <w:trPr>
          <w:trHeight w:val="231"/>
        </w:trPr>
        <w:tc>
          <w:tcPr>
            <w:tcW w:w="669" w:type="pct"/>
            <w:tcBorders>
              <w:top w:val="single" w:sz="4" w:space="0" w:color="auto"/>
            </w:tcBorders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SOROLOGIA (QUIMIO)</w:t>
            </w: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IMUNOBLOT</w:t>
            </w:r>
            <w:r w:rsidR="009D13A5" w:rsidRPr="00044468">
              <w:rPr>
                <w:rFonts w:cs="Arial"/>
                <w:bCs/>
                <w:color w:val="000000"/>
                <w:sz w:val="20"/>
                <w:szCs w:val="20"/>
              </w:rPr>
              <w:t xml:space="preserve">  </w:t>
            </w: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(CONFIRMATÓRIO)</w:t>
            </w:r>
          </w:p>
        </w:tc>
      </w:tr>
      <w:tr w:rsidR="00F35E89" w:rsidRPr="00044468" w:rsidTr="00E20CF6">
        <w:trPr>
          <w:trHeight w:val="231"/>
        </w:trPr>
        <w:tc>
          <w:tcPr>
            <w:tcW w:w="669" w:type="pct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27/08/2013</w:t>
            </w:r>
          </w:p>
        </w:tc>
        <w:tc>
          <w:tcPr>
            <w:tcW w:w="686" w:type="pct"/>
            <w:gridSpan w:val="2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+/ POOL</w:t>
            </w:r>
          </w:p>
        </w:tc>
        <w:tc>
          <w:tcPr>
            <w:tcW w:w="535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1297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0,05 (NR)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F35E89" w:rsidRPr="00044468" w:rsidTr="00E20CF6">
        <w:trPr>
          <w:trHeight w:val="231"/>
        </w:trPr>
        <w:tc>
          <w:tcPr>
            <w:tcW w:w="669" w:type="pct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28/08/2013</w:t>
            </w:r>
          </w:p>
        </w:tc>
        <w:tc>
          <w:tcPr>
            <w:tcW w:w="686" w:type="pct"/>
            <w:gridSpan w:val="2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+/ SINGLE</w:t>
            </w:r>
          </w:p>
        </w:tc>
        <w:tc>
          <w:tcPr>
            <w:tcW w:w="535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97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0,08 (NR)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F35E89" w:rsidRPr="00044468" w:rsidTr="00E20CF6">
        <w:trPr>
          <w:trHeight w:val="231"/>
        </w:trPr>
        <w:tc>
          <w:tcPr>
            <w:tcW w:w="669" w:type="pct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29/08/2013</w:t>
            </w:r>
          </w:p>
        </w:tc>
        <w:tc>
          <w:tcPr>
            <w:tcW w:w="686" w:type="pct"/>
            <w:gridSpan w:val="2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+/ SINGLE</w:t>
            </w:r>
          </w:p>
        </w:tc>
        <w:tc>
          <w:tcPr>
            <w:tcW w:w="535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38,91</w:t>
            </w:r>
          </w:p>
        </w:tc>
        <w:tc>
          <w:tcPr>
            <w:tcW w:w="1297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0,06 (NR)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F35E89" w:rsidRPr="00044468" w:rsidTr="00E20CF6">
        <w:trPr>
          <w:trHeight w:val="231"/>
        </w:trPr>
        <w:tc>
          <w:tcPr>
            <w:tcW w:w="669" w:type="pct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03/09/2013</w:t>
            </w:r>
          </w:p>
        </w:tc>
        <w:tc>
          <w:tcPr>
            <w:tcW w:w="686" w:type="pct"/>
            <w:gridSpan w:val="2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+/ SINGLE</w:t>
            </w:r>
          </w:p>
        </w:tc>
        <w:tc>
          <w:tcPr>
            <w:tcW w:w="535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26,43</w:t>
            </w:r>
          </w:p>
        </w:tc>
        <w:tc>
          <w:tcPr>
            <w:tcW w:w="1297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1,77 (R)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F35E89" w:rsidRPr="00044468" w:rsidTr="00E20CF6">
        <w:trPr>
          <w:trHeight w:val="231"/>
        </w:trPr>
        <w:tc>
          <w:tcPr>
            <w:tcW w:w="669" w:type="pct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26/09/2013</w:t>
            </w:r>
          </w:p>
        </w:tc>
        <w:tc>
          <w:tcPr>
            <w:tcW w:w="686" w:type="pct"/>
            <w:gridSpan w:val="2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+/ SINGLE</w:t>
            </w:r>
          </w:p>
        </w:tc>
        <w:tc>
          <w:tcPr>
            <w:tcW w:w="535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1297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38,72 (R)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gp41</w:t>
            </w:r>
          </w:p>
        </w:tc>
      </w:tr>
      <w:tr w:rsidR="00F35E89" w:rsidRPr="00044468" w:rsidTr="00E20CF6">
        <w:trPr>
          <w:trHeight w:val="231"/>
        </w:trPr>
        <w:tc>
          <w:tcPr>
            <w:tcW w:w="669" w:type="pct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color w:val="000000"/>
                <w:sz w:val="20"/>
                <w:szCs w:val="20"/>
              </w:rPr>
              <w:t>13/12/2013</w:t>
            </w:r>
          </w:p>
        </w:tc>
        <w:tc>
          <w:tcPr>
            <w:tcW w:w="686" w:type="pct"/>
            <w:gridSpan w:val="2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+/ SINGLE</w:t>
            </w:r>
          </w:p>
        </w:tc>
        <w:tc>
          <w:tcPr>
            <w:tcW w:w="535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297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213,49 (R)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color w:val="000000"/>
                <w:sz w:val="20"/>
                <w:szCs w:val="20"/>
              </w:rPr>
              <w:t>gp1260/ gp120/ gp41/ p24</w:t>
            </w:r>
          </w:p>
        </w:tc>
      </w:tr>
      <w:tr w:rsidR="00F35E89" w:rsidRPr="00044468" w:rsidTr="00E20CF6">
        <w:trPr>
          <w:trHeight w:val="231"/>
        </w:trPr>
        <w:tc>
          <w:tcPr>
            <w:tcW w:w="822" w:type="pct"/>
            <w:gridSpan w:val="2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bCs/>
                <w:i/>
                <w:color w:val="000000"/>
                <w:sz w:val="20"/>
                <w:szCs w:val="20"/>
              </w:rPr>
              <w:t>R: reagente</w:t>
            </w:r>
          </w:p>
        </w:tc>
        <w:tc>
          <w:tcPr>
            <w:tcW w:w="2365" w:type="pct"/>
            <w:gridSpan w:val="3"/>
          </w:tcPr>
          <w:p w:rsidR="00F35E89" w:rsidRPr="00044468" w:rsidRDefault="00F35E89" w:rsidP="00CF7F33">
            <w:pPr>
              <w:pStyle w:val="Recuodecorpodetexto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44468">
              <w:rPr>
                <w:rFonts w:cs="Arial"/>
                <w:i/>
                <w:color w:val="000000"/>
                <w:sz w:val="20"/>
                <w:szCs w:val="20"/>
              </w:rPr>
              <w:t>NR: não reagente</w:t>
            </w:r>
          </w:p>
        </w:tc>
        <w:tc>
          <w:tcPr>
            <w:tcW w:w="1813" w:type="pct"/>
          </w:tcPr>
          <w:p w:rsidR="00F35E89" w:rsidRPr="00044468" w:rsidRDefault="00F35E89" w:rsidP="009D13A5">
            <w:pPr>
              <w:pStyle w:val="Recuodecorpodetexto"/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35E89" w:rsidRPr="003F26F6" w:rsidRDefault="00F35E89" w:rsidP="009D13A5">
      <w:pPr>
        <w:pStyle w:val="Recuodecorpodetexto"/>
        <w:spacing w:line="240" w:lineRule="auto"/>
        <w:ind w:firstLine="0"/>
        <w:rPr>
          <w:rFonts w:cs="Arial"/>
          <w:strike/>
          <w:sz w:val="20"/>
          <w:szCs w:val="20"/>
        </w:rPr>
      </w:pPr>
      <w:r w:rsidRPr="00044468">
        <w:rPr>
          <w:rFonts w:cs="Arial"/>
          <w:sz w:val="20"/>
          <w:szCs w:val="20"/>
        </w:rPr>
        <w:t>FONTE: DADOS TRABALHADOS PELA AUTORA</w:t>
      </w:r>
    </w:p>
    <w:p w:rsidR="00FA3715" w:rsidRPr="00F92D04" w:rsidRDefault="00FA3715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A3715" w:rsidRPr="00FA3715" w:rsidRDefault="00FA3715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7C142A" w:rsidRDefault="007C142A" w:rsidP="006C48C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Conclusão</w:t>
      </w:r>
    </w:p>
    <w:p w:rsidR="00F35E89" w:rsidRDefault="00F35E89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A3715" w:rsidRPr="00FA3715" w:rsidRDefault="00FA3715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FA3715" w:rsidRPr="00A83901" w:rsidRDefault="003C1D04" w:rsidP="006C48C9">
      <w:pPr>
        <w:pStyle w:val="Recuodecorpodetexto"/>
        <w:tabs>
          <w:tab w:val="num" w:pos="0"/>
        </w:tabs>
        <w:ind w:firstLine="709"/>
        <w:rPr>
          <w:rFonts w:cs="Arial"/>
          <w:color w:val="000000" w:themeColor="text1"/>
        </w:rPr>
      </w:pPr>
      <w:r w:rsidRPr="00A83901">
        <w:rPr>
          <w:rFonts w:cs="Arial"/>
          <w:color w:val="000000" w:themeColor="text1"/>
        </w:rPr>
        <w:t xml:space="preserve">Identificou-se </w:t>
      </w:r>
      <w:r w:rsidR="00FA3715" w:rsidRPr="00A83901">
        <w:rPr>
          <w:rFonts w:cs="Arial"/>
          <w:color w:val="000000" w:themeColor="text1"/>
        </w:rPr>
        <w:t xml:space="preserve">que a prevalência de inaptidão sorológica no </w:t>
      </w:r>
      <w:r w:rsidR="00587CFB" w:rsidRPr="00A83901">
        <w:rPr>
          <w:rFonts w:cs="Arial"/>
          <w:color w:val="000000" w:themeColor="text1"/>
        </w:rPr>
        <w:t>Hemepar</w:t>
      </w:r>
      <w:r w:rsidR="00FA3715" w:rsidRPr="00A83901">
        <w:rPr>
          <w:rFonts w:cs="Arial"/>
          <w:color w:val="000000" w:themeColor="text1"/>
        </w:rPr>
        <w:t xml:space="preserve">, para o HIV </w:t>
      </w:r>
      <w:r w:rsidRPr="00A83901">
        <w:rPr>
          <w:rFonts w:cs="Arial"/>
          <w:color w:val="000000" w:themeColor="text1"/>
        </w:rPr>
        <w:t xml:space="preserve">é </w:t>
      </w:r>
      <w:r w:rsidR="00FA3715" w:rsidRPr="00A83901">
        <w:rPr>
          <w:rFonts w:cs="Arial"/>
          <w:color w:val="000000" w:themeColor="text1"/>
        </w:rPr>
        <w:t xml:space="preserve">de 0,24% e </w:t>
      </w:r>
      <w:r w:rsidRPr="00A83901">
        <w:rPr>
          <w:rFonts w:cs="Arial"/>
          <w:color w:val="000000" w:themeColor="text1"/>
        </w:rPr>
        <w:t xml:space="preserve">a </w:t>
      </w:r>
      <w:r w:rsidR="00A83901" w:rsidRPr="00A83901">
        <w:rPr>
          <w:rFonts w:cs="Arial"/>
          <w:color w:val="000000" w:themeColor="text1"/>
        </w:rPr>
        <w:t>molecular</w:t>
      </w:r>
      <w:r w:rsidRPr="00A83901">
        <w:rPr>
          <w:rFonts w:cs="Arial"/>
          <w:color w:val="000000" w:themeColor="text1"/>
        </w:rPr>
        <w:t xml:space="preserve"> é</w:t>
      </w:r>
      <w:r w:rsidR="00FA3715" w:rsidRPr="00A83901">
        <w:rPr>
          <w:rFonts w:cs="Arial"/>
          <w:color w:val="000000" w:themeColor="text1"/>
        </w:rPr>
        <w:t xml:space="preserve"> de 0,036%.  Já para o vírus HCV, a prevalência sorológica foi de 0,32% e a molecular de 0,014%.</w:t>
      </w:r>
    </w:p>
    <w:p w:rsidR="00FA3715" w:rsidRPr="00A83901" w:rsidRDefault="00FA3715" w:rsidP="006C48C9">
      <w:pPr>
        <w:pStyle w:val="Recuodecorpodetexto"/>
        <w:tabs>
          <w:tab w:val="num" w:pos="0"/>
        </w:tabs>
        <w:ind w:firstLine="709"/>
        <w:rPr>
          <w:rFonts w:cs="Arial"/>
          <w:color w:val="000000" w:themeColor="text1"/>
        </w:rPr>
      </w:pPr>
      <w:r w:rsidRPr="00A83901">
        <w:rPr>
          <w:rFonts w:cs="Arial"/>
          <w:color w:val="000000" w:themeColor="text1"/>
        </w:rPr>
        <w:t>Os valores encontrados nas análises estatísticas</w:t>
      </w:r>
      <w:r w:rsidR="000B0315" w:rsidRPr="00A83901">
        <w:rPr>
          <w:rFonts w:cs="Arial"/>
          <w:color w:val="000000" w:themeColor="text1"/>
        </w:rPr>
        <w:t xml:space="preserve"> (p&lt;0,001 </w:t>
      </w:r>
      <w:r w:rsidRPr="00A83901">
        <w:rPr>
          <w:rFonts w:cs="Arial"/>
          <w:color w:val="000000" w:themeColor="text1"/>
        </w:rPr>
        <w:t>para HIV e p&lt;0,001 para o HCV) sugerem que a os fatores de estudo (sorologia e NAT), para as duas doenças possuem relação de dependência.  Retomando o fato de que uma minoria das doações inaptas fo</w:t>
      </w:r>
      <w:r w:rsidR="004641A8" w:rsidRPr="00A83901">
        <w:rPr>
          <w:rFonts w:cs="Arial"/>
          <w:color w:val="000000" w:themeColor="text1"/>
        </w:rPr>
        <w:t>i reagente</w:t>
      </w:r>
      <w:r w:rsidRPr="00A83901">
        <w:rPr>
          <w:rFonts w:cs="Arial"/>
          <w:color w:val="000000" w:themeColor="text1"/>
        </w:rPr>
        <w:t xml:space="preserve"> para ambos os testes (14,8% para o HIV e 4,7% para o HCV), conclui-se que, em um banco de s</w:t>
      </w:r>
      <w:r w:rsidR="00A83901" w:rsidRPr="00A83901">
        <w:rPr>
          <w:rFonts w:cs="Arial"/>
          <w:color w:val="000000" w:themeColor="text1"/>
        </w:rPr>
        <w:t xml:space="preserve">angue ambos são complementares, </w:t>
      </w:r>
      <w:r w:rsidR="003C1D04" w:rsidRPr="00A83901">
        <w:rPr>
          <w:rFonts w:cs="Arial"/>
          <w:color w:val="000000" w:themeColor="text1"/>
        </w:rPr>
        <w:t xml:space="preserve">e </w:t>
      </w:r>
      <w:r w:rsidRPr="00A83901">
        <w:rPr>
          <w:rFonts w:cs="Arial"/>
          <w:color w:val="000000" w:themeColor="text1"/>
        </w:rPr>
        <w:t>dessa forma são capazes de detectar a infecção em fase</w:t>
      </w:r>
      <w:r w:rsidR="003C1D04" w:rsidRPr="00A83901">
        <w:rPr>
          <w:rFonts w:cs="Arial"/>
          <w:color w:val="000000" w:themeColor="text1"/>
        </w:rPr>
        <w:t xml:space="preserve"> mais ampla</w:t>
      </w:r>
      <w:r w:rsidRPr="00A83901">
        <w:rPr>
          <w:rFonts w:cs="Arial"/>
          <w:color w:val="000000" w:themeColor="text1"/>
        </w:rPr>
        <w:t>, garantindo uma melhor segurança transfusional.</w:t>
      </w:r>
    </w:p>
    <w:p w:rsidR="00FA3715" w:rsidRDefault="00FA3715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  <w:r w:rsidRPr="00A83901">
        <w:rPr>
          <w:rFonts w:cs="Arial"/>
          <w:color w:val="000000" w:themeColor="text1"/>
        </w:rPr>
        <w:t>Foi possível evidenciar uma melhoria na segurança transfusional para o HIV</w:t>
      </w:r>
      <w:r w:rsidRPr="008F5769">
        <w:rPr>
          <w:rFonts w:cs="Arial"/>
        </w:rPr>
        <w:t xml:space="preserve"> pela detecção de uma janela imunológica durante o período estudado</w:t>
      </w:r>
      <w:r>
        <w:rPr>
          <w:rFonts w:cs="Arial"/>
        </w:rPr>
        <w:t xml:space="preserve">. </w:t>
      </w:r>
      <w:r w:rsidRPr="008F5769">
        <w:rPr>
          <w:rFonts w:cs="Arial"/>
        </w:rPr>
        <w:t xml:space="preserve"> </w:t>
      </w:r>
      <w:r>
        <w:rPr>
          <w:rFonts w:cs="Arial"/>
        </w:rPr>
        <w:t>P</w:t>
      </w:r>
      <w:r w:rsidRPr="008F5769">
        <w:rPr>
          <w:rFonts w:cs="Arial"/>
        </w:rPr>
        <w:t xml:space="preserve">ara o HCV </w:t>
      </w:r>
      <w:r w:rsidRPr="008F5769">
        <w:rPr>
          <w:rFonts w:cs="Arial"/>
        </w:rPr>
        <w:lastRenderedPageBreak/>
        <w:t>tal fato não pode ser comprovado, pois não houve a detecção de janela no período</w:t>
      </w:r>
      <w:r w:rsidR="00A35FF7">
        <w:rPr>
          <w:rFonts w:cs="Arial"/>
          <w:color w:val="FF0000"/>
        </w:rPr>
        <w:t xml:space="preserve"> </w:t>
      </w:r>
      <w:r w:rsidR="00A35FF7" w:rsidRPr="00317DB4">
        <w:rPr>
          <w:rFonts w:cs="Arial"/>
        </w:rPr>
        <w:t>estudado</w:t>
      </w:r>
      <w:r w:rsidRPr="00317DB4">
        <w:rPr>
          <w:rFonts w:cs="Arial"/>
        </w:rPr>
        <w:t>, portanto</w:t>
      </w:r>
      <w:r w:rsidRPr="008C0759">
        <w:rPr>
          <w:rFonts w:cs="Arial"/>
        </w:rPr>
        <w:t xml:space="preserve">, sugere-se que este marcador seja revisitado em estudos futuros. </w:t>
      </w:r>
    </w:p>
    <w:p w:rsidR="0060776E" w:rsidRPr="008C0759" w:rsidRDefault="0060776E" w:rsidP="006C48C9">
      <w:pPr>
        <w:pStyle w:val="Recuodecorpodetexto"/>
        <w:tabs>
          <w:tab w:val="num" w:pos="0"/>
        </w:tabs>
        <w:ind w:firstLine="709"/>
        <w:rPr>
          <w:rFonts w:cs="Arial"/>
        </w:rPr>
      </w:pPr>
    </w:p>
    <w:p w:rsidR="007C142A" w:rsidRDefault="0060776E" w:rsidP="006C48C9">
      <w:pPr>
        <w:pStyle w:val="Pargrafoda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8D03BA" w:rsidRPr="009C6A92" w:rsidRDefault="008D03BA" w:rsidP="0035616E">
      <w:pPr>
        <w:rPr>
          <w:rFonts w:ascii="Arial" w:hAnsi="Arial" w:cs="Arial"/>
        </w:rPr>
      </w:pPr>
    </w:p>
    <w:p w:rsidR="008D03BA" w:rsidRDefault="008D03BA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AGÊNCIA NACIONAL DE VIGILÂNCIA SANITARIA (ANVISA). </w:t>
      </w:r>
      <w:r w:rsidRPr="004A56CF">
        <w:rPr>
          <w:rFonts w:ascii="Arial" w:hAnsi="Arial" w:cs="Arial"/>
          <w:b/>
          <w:sz w:val="24"/>
          <w:szCs w:val="24"/>
        </w:rPr>
        <w:t>Boletim Anual de Avaliação Sanitária em Serviços de Hemoterapia</w:t>
      </w:r>
      <w:r w:rsidRPr="004A56CF">
        <w:rPr>
          <w:rFonts w:ascii="Arial" w:hAnsi="Arial" w:cs="Arial"/>
          <w:sz w:val="24"/>
          <w:szCs w:val="24"/>
        </w:rPr>
        <w:t>, 2010.</w:t>
      </w:r>
    </w:p>
    <w:p w:rsidR="00822B93" w:rsidRDefault="00822B93" w:rsidP="0035616E">
      <w:pPr>
        <w:pStyle w:val="SemEspaamento"/>
        <w:rPr>
          <w:rFonts w:ascii="Arial" w:hAnsi="Arial" w:cs="Arial"/>
          <w:sz w:val="24"/>
          <w:szCs w:val="24"/>
        </w:rPr>
      </w:pPr>
    </w:p>
    <w:p w:rsidR="00822B93" w:rsidRPr="004A56CF" w:rsidRDefault="00822B93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AMADEI, J.L </w:t>
      </w:r>
      <w:r w:rsidRPr="004A56CF">
        <w:rPr>
          <w:rFonts w:ascii="Arial" w:hAnsi="Arial" w:cs="Arial"/>
          <w:i/>
          <w:sz w:val="24"/>
          <w:szCs w:val="24"/>
        </w:rPr>
        <w:t>et al</w:t>
      </w:r>
      <w:r w:rsidRPr="004A56CF">
        <w:rPr>
          <w:rFonts w:ascii="Arial" w:hAnsi="Arial" w:cs="Arial"/>
          <w:sz w:val="24"/>
          <w:szCs w:val="24"/>
        </w:rPr>
        <w:t xml:space="preserve">. Vigilância de HIV em sangue doado: tendência de soroprevalência. In: VII EPCC- Encontro Internacional de Produção Científica Cesumar, 2011, Maringá. </w:t>
      </w:r>
      <w:r w:rsidRPr="004A56CF">
        <w:rPr>
          <w:rFonts w:ascii="Arial" w:hAnsi="Arial" w:cs="Arial"/>
          <w:b/>
          <w:bCs/>
          <w:sz w:val="24"/>
          <w:szCs w:val="24"/>
        </w:rPr>
        <w:t>Anais Eletrônicos Cesumar</w:t>
      </w:r>
      <w:r w:rsidRPr="004A56CF">
        <w:rPr>
          <w:rFonts w:ascii="Arial" w:hAnsi="Arial" w:cs="Arial"/>
          <w:sz w:val="24"/>
          <w:szCs w:val="24"/>
        </w:rPr>
        <w:t xml:space="preserve">, 2011. </w:t>
      </w:r>
    </w:p>
    <w:p w:rsidR="00FE2DAE" w:rsidRDefault="00FE2DAE" w:rsidP="0035616E">
      <w:pPr>
        <w:pStyle w:val="SemEspaamento"/>
        <w:rPr>
          <w:rFonts w:ascii="Arial" w:hAnsi="Arial" w:cs="Arial"/>
          <w:sz w:val="24"/>
          <w:szCs w:val="24"/>
        </w:rPr>
      </w:pPr>
    </w:p>
    <w:p w:rsidR="008D03BA" w:rsidRPr="004A56CF" w:rsidRDefault="008D03BA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>BRASIL. Ministério da Saúde. Agência Nacional de Vigilância Sanitária (ANVISA). Boletim Brasileiro de Avaliação em Tecnologias da Saúde (BRATS)</w:t>
      </w:r>
      <w:r w:rsidRPr="004A56CF">
        <w:rPr>
          <w:rFonts w:ascii="Arial" w:hAnsi="Arial" w:cs="Arial"/>
          <w:b/>
          <w:sz w:val="24"/>
          <w:szCs w:val="24"/>
        </w:rPr>
        <w:t xml:space="preserve">. O Teste de Amplificação de Ácidos Nucleicos (NAT) e as demais estratégias para detecção dos vírus HIV-1 e HCV na triagem de sangue doado. </w:t>
      </w:r>
      <w:r w:rsidRPr="004A56CF">
        <w:rPr>
          <w:rFonts w:ascii="Arial" w:hAnsi="Arial" w:cs="Arial"/>
          <w:sz w:val="24"/>
          <w:szCs w:val="24"/>
        </w:rPr>
        <w:t>Ano II, n.3. Brasília: 2007.</w:t>
      </w:r>
    </w:p>
    <w:p w:rsidR="008D03BA" w:rsidRDefault="008D03BA" w:rsidP="0035616E">
      <w:pPr>
        <w:pStyle w:val="SemEspaamento"/>
        <w:rPr>
          <w:rFonts w:ascii="Arial" w:hAnsi="Arial" w:cs="Arial"/>
          <w:sz w:val="24"/>
          <w:szCs w:val="24"/>
        </w:rPr>
      </w:pPr>
    </w:p>
    <w:p w:rsidR="00A96E5C" w:rsidRPr="004A56CF" w:rsidRDefault="00A96E5C" w:rsidP="00A96E5C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BRASIL. Ministério da Saúde. Secretaria de Vigilância em Saúde. Departamento de DST, AIDS e Hepatites Virais. </w:t>
      </w:r>
      <w:r w:rsidRPr="004A56CF">
        <w:rPr>
          <w:rFonts w:ascii="Arial" w:hAnsi="Arial" w:cs="Arial"/>
          <w:b/>
          <w:sz w:val="24"/>
          <w:szCs w:val="24"/>
        </w:rPr>
        <w:t>Nota Técnica Nº 275/2009 ULAB/D-DST/ AIDS/SVS/MS</w:t>
      </w:r>
      <w:r w:rsidRPr="004A56CF">
        <w:rPr>
          <w:rFonts w:ascii="Arial" w:hAnsi="Arial" w:cs="Arial"/>
          <w:sz w:val="24"/>
          <w:szCs w:val="24"/>
        </w:rPr>
        <w:t>. Disponível em: &lt;</w:t>
      </w:r>
      <w:hyperlink r:id="rId10" w:history="1">
        <w:r w:rsidRPr="00A96E5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http://redsang.ial.sp.gov.br/site/docs_leis/nt/nt1.pdf</w:t>
        </w:r>
      </w:hyperlink>
      <w:r w:rsidRPr="00A96E5C">
        <w:rPr>
          <w:rFonts w:ascii="Arial" w:hAnsi="Arial" w:cs="Arial"/>
          <w:sz w:val="24"/>
          <w:szCs w:val="24"/>
        </w:rPr>
        <w:t xml:space="preserve">&gt;. </w:t>
      </w:r>
      <w:r w:rsidRPr="004A56CF">
        <w:rPr>
          <w:rFonts w:ascii="Arial" w:hAnsi="Arial" w:cs="Arial"/>
          <w:sz w:val="24"/>
          <w:szCs w:val="24"/>
        </w:rPr>
        <w:t xml:space="preserve">Acesso em: 05.nov.2014. </w:t>
      </w:r>
    </w:p>
    <w:p w:rsidR="002C3BC7" w:rsidRDefault="002C3BC7" w:rsidP="0035616E">
      <w:pPr>
        <w:rPr>
          <w:rFonts w:ascii="Arial" w:hAnsi="Arial" w:cs="Arial"/>
          <w:color w:val="FF0000"/>
        </w:rPr>
      </w:pPr>
    </w:p>
    <w:p w:rsidR="008D03BA" w:rsidRDefault="008D03BA" w:rsidP="0035616E">
      <w:pPr>
        <w:rPr>
          <w:rFonts w:ascii="Arial" w:hAnsi="Arial" w:cs="Arial"/>
        </w:rPr>
      </w:pPr>
      <w:r w:rsidRPr="004A56CF">
        <w:rPr>
          <w:rFonts w:ascii="Arial" w:hAnsi="Arial" w:cs="Arial"/>
        </w:rPr>
        <w:t xml:space="preserve">BRASIL, Ministério da Saúde. Agência Nacional de Vigilância Sanitária (ANVISA). Legislação em Vigilância Sanitária. </w:t>
      </w:r>
      <w:r w:rsidRPr="004A56CF">
        <w:rPr>
          <w:rFonts w:ascii="Arial" w:hAnsi="Arial" w:cs="Arial"/>
          <w:b/>
        </w:rPr>
        <w:t xml:space="preserve">Resolução RDC n° 57, </w:t>
      </w:r>
      <w:r w:rsidR="00825C35">
        <w:rPr>
          <w:rFonts w:ascii="Arial" w:hAnsi="Arial" w:cs="Arial"/>
        </w:rPr>
        <w:t>de 16 de dezembro de 2010</w:t>
      </w:r>
      <w:r w:rsidRPr="004A56CF">
        <w:rPr>
          <w:rFonts w:ascii="Arial" w:hAnsi="Arial" w:cs="Arial"/>
        </w:rPr>
        <w:t>.</w:t>
      </w:r>
    </w:p>
    <w:p w:rsidR="000819CA" w:rsidRDefault="000819CA" w:rsidP="0035616E">
      <w:pPr>
        <w:rPr>
          <w:rFonts w:ascii="Arial" w:hAnsi="Arial" w:cs="Arial"/>
        </w:rPr>
      </w:pPr>
    </w:p>
    <w:p w:rsidR="000819CA" w:rsidRPr="004A56CF" w:rsidRDefault="000819CA" w:rsidP="0035616E">
      <w:pPr>
        <w:rPr>
          <w:rFonts w:ascii="Arial" w:hAnsi="Arial" w:cs="Arial"/>
        </w:rPr>
      </w:pPr>
      <w:r w:rsidRPr="004A56CF">
        <w:rPr>
          <w:rFonts w:ascii="Arial" w:hAnsi="Arial" w:cs="Arial"/>
        </w:rPr>
        <w:t xml:space="preserve">BRASIL, Ministério da Saúde. Agência Nacional de Vigilância Sanitária (ANVISA). Legislação em Vigilância Sanitária. </w:t>
      </w:r>
      <w:r w:rsidRPr="004A56CF">
        <w:rPr>
          <w:rFonts w:ascii="Arial" w:hAnsi="Arial" w:cs="Arial"/>
          <w:b/>
        </w:rPr>
        <w:t>Portaria do Ministério da Saúde n° 1.353</w:t>
      </w:r>
      <w:r w:rsidRPr="004A56CF">
        <w:rPr>
          <w:rFonts w:ascii="Arial" w:hAnsi="Arial" w:cs="Arial"/>
        </w:rPr>
        <w:t>, de 13 de junho de 2011.</w:t>
      </w:r>
    </w:p>
    <w:p w:rsidR="009C6A92" w:rsidRDefault="009C6A92" w:rsidP="0035616E">
      <w:pPr>
        <w:rPr>
          <w:rFonts w:ascii="Arial" w:hAnsi="Arial" w:cs="Arial"/>
        </w:rPr>
      </w:pPr>
    </w:p>
    <w:p w:rsidR="008D03BA" w:rsidRDefault="008D03BA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BRASIL. Ministério da Saúde. Secretaria de Vigilância em Saúde. Departamento de DST, AIDS e Hepatites Virais. </w:t>
      </w:r>
      <w:r w:rsidRPr="004A56CF">
        <w:rPr>
          <w:rFonts w:ascii="Arial" w:hAnsi="Arial" w:cs="Arial"/>
          <w:b/>
          <w:sz w:val="24"/>
          <w:szCs w:val="24"/>
        </w:rPr>
        <w:t xml:space="preserve">Boletim Epidemiológico-Hepatites Virais. </w:t>
      </w:r>
      <w:r w:rsidRPr="004A56CF">
        <w:rPr>
          <w:rFonts w:ascii="Arial" w:hAnsi="Arial" w:cs="Arial"/>
          <w:sz w:val="24"/>
          <w:szCs w:val="24"/>
        </w:rPr>
        <w:t xml:space="preserve">Ano III, n.1. Brasília: Ministério da Saúde, 2012a. </w:t>
      </w:r>
    </w:p>
    <w:p w:rsidR="00C531A4" w:rsidRDefault="00C531A4" w:rsidP="0035616E">
      <w:pPr>
        <w:pStyle w:val="SemEspaamento"/>
        <w:rPr>
          <w:rFonts w:ascii="Arial" w:hAnsi="Arial" w:cs="Arial"/>
          <w:sz w:val="24"/>
          <w:szCs w:val="24"/>
        </w:rPr>
      </w:pPr>
    </w:p>
    <w:p w:rsidR="00C531A4" w:rsidRDefault="00C531A4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BRASIL. Ministério da Saúde. Agência Nacional de Vigilância Sanitária (ANVISA). </w:t>
      </w:r>
      <w:r w:rsidRPr="004A56CF">
        <w:rPr>
          <w:rFonts w:ascii="Arial" w:hAnsi="Arial" w:cs="Arial"/>
          <w:b/>
          <w:sz w:val="24"/>
          <w:szCs w:val="24"/>
        </w:rPr>
        <w:t>Boletim Anual de Produção Hemoterápica</w:t>
      </w:r>
      <w:r w:rsidRPr="004A56CF">
        <w:rPr>
          <w:rFonts w:ascii="Arial" w:hAnsi="Arial" w:cs="Arial"/>
          <w:sz w:val="24"/>
          <w:szCs w:val="24"/>
        </w:rPr>
        <w:t>, n.2. Brasília, 2012b.</w:t>
      </w:r>
    </w:p>
    <w:p w:rsidR="008D03BA" w:rsidRDefault="008D03BA" w:rsidP="0035616E">
      <w:pPr>
        <w:rPr>
          <w:rFonts w:ascii="Arial" w:hAnsi="Arial" w:cs="Arial"/>
        </w:rPr>
      </w:pPr>
    </w:p>
    <w:p w:rsidR="008D03BA" w:rsidRDefault="008D03BA" w:rsidP="0035616E">
      <w:pPr>
        <w:rPr>
          <w:rFonts w:ascii="Arial" w:hAnsi="Arial" w:cs="Arial"/>
        </w:rPr>
      </w:pPr>
      <w:r w:rsidRPr="004A56CF">
        <w:rPr>
          <w:rFonts w:ascii="Arial" w:hAnsi="Arial" w:cs="Arial"/>
        </w:rPr>
        <w:t xml:space="preserve">BRASIL. Ministério da Saúde. Diário Oficial da União. </w:t>
      </w:r>
      <w:r w:rsidRPr="004A56CF">
        <w:rPr>
          <w:rFonts w:ascii="Arial" w:hAnsi="Arial" w:cs="Arial"/>
          <w:b/>
        </w:rPr>
        <w:t>Portaria nº 2.712</w:t>
      </w:r>
      <w:r w:rsidRPr="004A56CF">
        <w:rPr>
          <w:rFonts w:ascii="Arial" w:hAnsi="Arial" w:cs="Arial"/>
        </w:rPr>
        <w:t>, de 12 de novembro de 2013</w:t>
      </w:r>
      <w:r w:rsidR="00BC1EE7">
        <w:rPr>
          <w:rFonts w:ascii="Arial" w:hAnsi="Arial" w:cs="Arial"/>
        </w:rPr>
        <w:t xml:space="preserve">a. </w:t>
      </w:r>
    </w:p>
    <w:p w:rsidR="00BC1EE7" w:rsidRDefault="00BC1EE7" w:rsidP="0035616E">
      <w:pPr>
        <w:rPr>
          <w:rFonts w:ascii="Arial" w:hAnsi="Arial" w:cs="Arial"/>
        </w:rPr>
      </w:pPr>
    </w:p>
    <w:p w:rsidR="00BC1EE7" w:rsidRDefault="00BC1EE7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BRASIL. Ministério da Saúde. Agência Nacional de Vigilância Sanitária (ANVISA). </w:t>
      </w:r>
      <w:r w:rsidRPr="004A56CF">
        <w:rPr>
          <w:rFonts w:ascii="Arial" w:hAnsi="Arial" w:cs="Arial"/>
          <w:b/>
          <w:sz w:val="24"/>
          <w:szCs w:val="24"/>
        </w:rPr>
        <w:t>Boletim Anual de Produção Hemoterápica</w:t>
      </w:r>
      <w:r w:rsidR="00825C35">
        <w:rPr>
          <w:rFonts w:ascii="Arial" w:hAnsi="Arial" w:cs="Arial"/>
          <w:sz w:val="24"/>
          <w:szCs w:val="24"/>
        </w:rPr>
        <w:t>, n.3. Brasília, 2013b</w:t>
      </w:r>
      <w:r w:rsidRPr="004A56CF">
        <w:rPr>
          <w:rFonts w:ascii="Arial" w:hAnsi="Arial" w:cs="Arial"/>
          <w:sz w:val="24"/>
          <w:szCs w:val="24"/>
        </w:rPr>
        <w:t xml:space="preserve">. </w:t>
      </w:r>
    </w:p>
    <w:p w:rsidR="00E97A19" w:rsidRDefault="00E97A19" w:rsidP="0035616E">
      <w:pPr>
        <w:pStyle w:val="SemEspaamento"/>
        <w:rPr>
          <w:rFonts w:ascii="Arial" w:hAnsi="Arial" w:cs="Arial"/>
          <w:sz w:val="24"/>
          <w:szCs w:val="24"/>
        </w:rPr>
      </w:pPr>
    </w:p>
    <w:p w:rsidR="00E97A19" w:rsidRDefault="00E97A19" w:rsidP="0035616E">
      <w:pPr>
        <w:pStyle w:val="SemEspaamento"/>
        <w:rPr>
          <w:rFonts w:ascii="Arial" w:hAnsi="Arial" w:cs="Arial"/>
          <w:sz w:val="24"/>
          <w:szCs w:val="24"/>
        </w:rPr>
      </w:pPr>
      <w:r w:rsidRPr="004A56CF">
        <w:rPr>
          <w:rFonts w:ascii="Arial" w:hAnsi="Arial" w:cs="Arial"/>
          <w:sz w:val="24"/>
          <w:szCs w:val="24"/>
        </w:rPr>
        <w:t xml:space="preserve">BRASIL. Ministério da Saúde. Departamento de Gestão e Incorporação de Tecnologias em Saúde. Secretaria da Ciência, Tecnologia e Insumos Estratégicos. Comissão Nacional de Incorporação de Tecologias no SUS, Relatório n° 110. </w:t>
      </w:r>
      <w:r w:rsidRPr="004A56CF">
        <w:rPr>
          <w:rFonts w:ascii="Arial" w:hAnsi="Arial" w:cs="Arial"/>
          <w:b/>
          <w:sz w:val="24"/>
          <w:szCs w:val="24"/>
        </w:rPr>
        <w:t>Procedimento no Teste do Ácido Nucléico (NAT) em amostras de Sangue do Doador</w:t>
      </w:r>
      <w:r w:rsidRPr="004A56CF">
        <w:rPr>
          <w:rFonts w:ascii="Arial" w:hAnsi="Arial" w:cs="Arial"/>
          <w:sz w:val="24"/>
          <w:szCs w:val="24"/>
        </w:rPr>
        <w:t>, Ministério da Saúde: 2014</w:t>
      </w:r>
      <w:r w:rsidR="007B76A8">
        <w:rPr>
          <w:rFonts w:ascii="Arial" w:hAnsi="Arial" w:cs="Arial"/>
          <w:sz w:val="24"/>
          <w:szCs w:val="24"/>
        </w:rPr>
        <w:t>a</w:t>
      </w:r>
      <w:r w:rsidRPr="004A56CF">
        <w:rPr>
          <w:rFonts w:ascii="Arial" w:hAnsi="Arial" w:cs="Arial"/>
          <w:sz w:val="24"/>
          <w:szCs w:val="24"/>
        </w:rPr>
        <w:t xml:space="preserve">.  </w:t>
      </w:r>
    </w:p>
    <w:p w:rsidR="002C3BC7" w:rsidRDefault="002C3BC7" w:rsidP="0035616E">
      <w:pPr>
        <w:pStyle w:val="SemEspaamento"/>
        <w:rPr>
          <w:rFonts w:ascii="Arial" w:hAnsi="Arial" w:cs="Arial"/>
          <w:color w:val="FF0000"/>
          <w:sz w:val="24"/>
          <w:szCs w:val="24"/>
        </w:rPr>
      </w:pPr>
    </w:p>
    <w:p w:rsidR="006E03E1" w:rsidRPr="004A56CF" w:rsidRDefault="006E03E1" w:rsidP="006E03E1">
      <w:pPr>
        <w:rPr>
          <w:rFonts w:ascii="Arial" w:hAnsi="Arial" w:cs="Arial"/>
        </w:rPr>
      </w:pPr>
      <w:r w:rsidRPr="004A56CF">
        <w:rPr>
          <w:rFonts w:ascii="Arial" w:hAnsi="Arial" w:cs="Arial"/>
        </w:rPr>
        <w:t xml:space="preserve">BRASIL, Ministério da Saúde. Agência Nacional de Vigilância Sanitária (ANVISA). Legislação em Vigilância Sanitária. </w:t>
      </w:r>
      <w:r>
        <w:rPr>
          <w:rFonts w:ascii="Arial" w:hAnsi="Arial" w:cs="Arial"/>
          <w:b/>
        </w:rPr>
        <w:t>Resolução RDC n° 34</w:t>
      </w:r>
      <w:r w:rsidRPr="004A56CF">
        <w:rPr>
          <w:rFonts w:ascii="Arial" w:hAnsi="Arial" w:cs="Arial"/>
          <w:b/>
        </w:rPr>
        <w:t xml:space="preserve">, </w:t>
      </w:r>
      <w:r w:rsidRPr="004A56CF">
        <w:rPr>
          <w:rFonts w:ascii="Arial" w:hAnsi="Arial" w:cs="Arial"/>
        </w:rPr>
        <w:t>de 1</w:t>
      </w:r>
      <w:r>
        <w:rPr>
          <w:rFonts w:ascii="Arial" w:hAnsi="Arial" w:cs="Arial"/>
        </w:rPr>
        <w:t>1</w:t>
      </w:r>
      <w:r w:rsidRPr="004A56C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2014</w:t>
      </w:r>
      <w:r w:rsidR="007B76A8">
        <w:rPr>
          <w:rFonts w:ascii="Arial" w:hAnsi="Arial" w:cs="Arial"/>
        </w:rPr>
        <w:t>b</w:t>
      </w:r>
      <w:r w:rsidRPr="004A56CF">
        <w:rPr>
          <w:rFonts w:ascii="Arial" w:hAnsi="Arial" w:cs="Arial"/>
        </w:rPr>
        <w:t>.</w:t>
      </w:r>
    </w:p>
    <w:p w:rsidR="002C3BC7" w:rsidRPr="002C3BC7" w:rsidRDefault="002C3BC7" w:rsidP="0035616E">
      <w:pPr>
        <w:pStyle w:val="SemEspaamento"/>
        <w:rPr>
          <w:rFonts w:ascii="Arial" w:hAnsi="Arial" w:cs="Arial"/>
          <w:color w:val="FF0000"/>
          <w:sz w:val="24"/>
          <w:szCs w:val="24"/>
        </w:rPr>
      </w:pPr>
    </w:p>
    <w:p w:rsidR="00947B4F" w:rsidRPr="004A56CF" w:rsidRDefault="00947B4F" w:rsidP="0035616E">
      <w:pPr>
        <w:rPr>
          <w:rFonts w:ascii="Arial" w:hAnsi="Arial" w:cs="Arial"/>
        </w:rPr>
      </w:pPr>
      <w:r w:rsidRPr="004A56CF">
        <w:rPr>
          <w:rFonts w:ascii="Arial" w:hAnsi="Arial" w:cs="Arial"/>
          <w:b/>
        </w:rPr>
        <w:t>HIV Ag/ Ab Combo</w:t>
      </w:r>
      <w:r w:rsidRPr="004A56CF">
        <w:rPr>
          <w:rFonts w:ascii="Arial" w:hAnsi="Arial" w:cs="Arial"/>
        </w:rPr>
        <w:t xml:space="preserve">. Responsável Técnico: Danielle Angelino. São Paulo: Abbott, 2013. Bula de Kit para ensaio diagnóstico. </w:t>
      </w:r>
    </w:p>
    <w:p w:rsidR="008D03BA" w:rsidRDefault="008D03BA" w:rsidP="0035616E">
      <w:pPr>
        <w:rPr>
          <w:rFonts w:ascii="Arial" w:hAnsi="Arial" w:cs="Arial"/>
        </w:rPr>
      </w:pPr>
    </w:p>
    <w:p w:rsidR="008D03BA" w:rsidRPr="00A82D54" w:rsidRDefault="008D03BA" w:rsidP="0035616E">
      <w:pPr>
        <w:rPr>
          <w:rFonts w:ascii="Arial" w:hAnsi="Arial" w:cs="Arial"/>
          <w:lang w:val="en-US"/>
        </w:rPr>
      </w:pPr>
      <w:r w:rsidRPr="004A56CF">
        <w:rPr>
          <w:rFonts w:ascii="Arial" w:hAnsi="Arial" w:cs="Arial"/>
        </w:rPr>
        <w:t xml:space="preserve">JUNQUEIRA, P. C; HAMERSCHLAK, N; ROSENBLIT, J. </w:t>
      </w:r>
      <w:r w:rsidRPr="004A56CF">
        <w:rPr>
          <w:rFonts w:ascii="Arial" w:hAnsi="Arial" w:cs="Arial"/>
          <w:b/>
        </w:rPr>
        <w:t>Hemoterapia Clínica</w:t>
      </w:r>
      <w:r w:rsidRPr="004A56CF">
        <w:rPr>
          <w:rFonts w:ascii="Arial" w:hAnsi="Arial" w:cs="Arial"/>
        </w:rPr>
        <w:t xml:space="preserve">. </w:t>
      </w:r>
      <w:r w:rsidRPr="00A82D54">
        <w:rPr>
          <w:rFonts w:ascii="Arial" w:hAnsi="Arial" w:cs="Arial"/>
          <w:lang w:val="en-US"/>
        </w:rPr>
        <w:t>São Paulo: Roca, 2009.</w:t>
      </w:r>
    </w:p>
    <w:p w:rsidR="00FA3442" w:rsidRPr="00A82D54" w:rsidRDefault="00FA3442" w:rsidP="0035616E">
      <w:pPr>
        <w:rPr>
          <w:rFonts w:ascii="Arial" w:hAnsi="Arial" w:cs="Arial"/>
          <w:lang w:val="en-US"/>
        </w:rPr>
      </w:pPr>
    </w:p>
    <w:p w:rsidR="00FA3442" w:rsidRPr="004A56CF" w:rsidRDefault="00FA3442" w:rsidP="0035616E">
      <w:pPr>
        <w:pStyle w:val="SemEspaamento"/>
        <w:rPr>
          <w:rFonts w:ascii="Arial" w:hAnsi="Arial" w:cs="Arial"/>
          <w:sz w:val="24"/>
          <w:szCs w:val="24"/>
        </w:rPr>
      </w:pPr>
      <w:r w:rsidRPr="00A82D54">
        <w:rPr>
          <w:rFonts w:ascii="Arial" w:hAnsi="Arial" w:cs="Arial"/>
          <w:sz w:val="24"/>
          <w:szCs w:val="24"/>
          <w:lang w:val="en-US"/>
        </w:rPr>
        <w:t xml:space="preserve">LEVI, J. E </w:t>
      </w:r>
      <w:r w:rsidRPr="00A82D54">
        <w:rPr>
          <w:rFonts w:ascii="Arial" w:hAnsi="Arial" w:cs="Arial"/>
          <w:i/>
          <w:sz w:val="24"/>
          <w:szCs w:val="24"/>
          <w:lang w:val="en-US"/>
        </w:rPr>
        <w:t xml:space="preserve">et al. </w:t>
      </w:r>
      <w:r w:rsidRPr="004A56CF">
        <w:rPr>
          <w:rFonts w:ascii="Arial" w:hAnsi="Arial" w:cs="Arial"/>
          <w:sz w:val="24"/>
          <w:szCs w:val="24"/>
          <w:lang w:val="en-US"/>
        </w:rPr>
        <w:t>One window- period donation in two years of individual donor- nucleic acid test screening for hepatitis B, hepatitis C and human immunodeficiency virus.</w:t>
      </w:r>
      <w:r w:rsidRPr="004A56C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A56CF">
        <w:rPr>
          <w:rFonts w:ascii="Arial" w:hAnsi="Arial" w:cs="Arial"/>
          <w:sz w:val="24"/>
          <w:szCs w:val="24"/>
        </w:rPr>
        <w:t xml:space="preserve">São Paulo, Brasil. </w:t>
      </w:r>
      <w:r w:rsidRPr="004A56CF">
        <w:rPr>
          <w:rFonts w:ascii="Arial" w:hAnsi="Arial" w:cs="Arial"/>
          <w:b/>
          <w:sz w:val="24"/>
          <w:szCs w:val="24"/>
        </w:rPr>
        <w:t>Revista Brasileira de Hematologia e Hemoterapia</w:t>
      </w:r>
      <w:r w:rsidRPr="004A56CF">
        <w:rPr>
          <w:rFonts w:ascii="Arial" w:hAnsi="Arial" w:cs="Arial"/>
          <w:sz w:val="24"/>
          <w:szCs w:val="24"/>
        </w:rPr>
        <w:t xml:space="preserve">. v.35, nº 3, p.167-170, 2012. </w:t>
      </w:r>
    </w:p>
    <w:p w:rsidR="00FA3442" w:rsidRDefault="00FA3442" w:rsidP="0035616E">
      <w:pPr>
        <w:rPr>
          <w:rFonts w:ascii="Arial" w:hAnsi="Arial" w:cs="Arial"/>
        </w:rPr>
      </w:pPr>
    </w:p>
    <w:p w:rsidR="00FA3442" w:rsidRPr="004A56CF" w:rsidRDefault="00FA3442" w:rsidP="0035616E">
      <w:pPr>
        <w:rPr>
          <w:rFonts w:ascii="Arial" w:hAnsi="Arial" w:cs="Arial"/>
        </w:rPr>
      </w:pPr>
      <w:r w:rsidRPr="004A56CF">
        <w:rPr>
          <w:rFonts w:ascii="Arial" w:hAnsi="Arial" w:cs="Arial"/>
        </w:rPr>
        <w:t xml:space="preserve">LIMA, D.S. </w:t>
      </w:r>
      <w:r w:rsidRPr="004A56CF">
        <w:rPr>
          <w:rFonts w:ascii="Arial" w:hAnsi="Arial" w:cs="Arial"/>
          <w:b/>
          <w:bCs/>
        </w:rPr>
        <w:t>Estudo Comparativo de Metodologias de Triagem para HIV e HCV em Doadores de Sangue</w:t>
      </w:r>
      <w:r w:rsidRPr="004A56CF">
        <w:rPr>
          <w:rFonts w:ascii="Arial" w:hAnsi="Arial" w:cs="Arial"/>
        </w:rPr>
        <w:t>. 2011. 22 f. Trabalho de Conclusão de Curso (Pós-Graduação em Hematologia “Lato-Senso”) – Academia de Ciência e Tecnologia, Universidade de Brasília, Brasília, 2011.</w:t>
      </w:r>
    </w:p>
    <w:p w:rsidR="00847D42" w:rsidRDefault="00847D42" w:rsidP="0035616E">
      <w:pPr>
        <w:rPr>
          <w:rFonts w:ascii="Arial" w:hAnsi="Arial" w:cs="Arial"/>
        </w:rPr>
      </w:pPr>
    </w:p>
    <w:p w:rsidR="00947B4F" w:rsidRPr="0071208B" w:rsidRDefault="00947B4F" w:rsidP="0035616E">
      <w:pPr>
        <w:jc w:val="both"/>
        <w:rPr>
          <w:rFonts w:ascii="Arial" w:eastAsia="Calibri" w:hAnsi="Arial" w:cs="Arial"/>
          <w:lang w:val="en-US"/>
        </w:rPr>
      </w:pPr>
      <w:r w:rsidRPr="004A56CF">
        <w:rPr>
          <w:rFonts w:ascii="Arial" w:eastAsia="Calibri" w:hAnsi="Arial" w:cs="Arial"/>
          <w:b/>
        </w:rPr>
        <w:t>Kit NAT HIV/ HCV</w:t>
      </w:r>
      <w:r w:rsidRPr="004A56CF">
        <w:rPr>
          <w:rFonts w:ascii="Arial" w:eastAsia="Calibri" w:hAnsi="Arial" w:cs="Arial"/>
        </w:rPr>
        <w:t xml:space="preserve">. Rio de Janeiro: Instituto de Tecnologia em Imunobiologicos- Bio- Manguinhos/ FIOCRUZ, 2013. </w:t>
      </w:r>
      <w:r w:rsidRPr="0071208B">
        <w:rPr>
          <w:rFonts w:ascii="Arial" w:eastAsia="Calibri" w:hAnsi="Arial" w:cs="Arial"/>
          <w:lang w:val="en-US"/>
        </w:rPr>
        <w:t>Bula de Kit para ensaio diagnóstico.</w:t>
      </w:r>
    </w:p>
    <w:p w:rsidR="00B84563" w:rsidRPr="0071208B" w:rsidRDefault="00B84563" w:rsidP="0035616E">
      <w:pPr>
        <w:jc w:val="both"/>
        <w:rPr>
          <w:rFonts w:ascii="Arial" w:eastAsia="Calibri" w:hAnsi="Arial" w:cs="Arial"/>
          <w:lang w:val="en-US"/>
        </w:rPr>
      </w:pPr>
    </w:p>
    <w:p w:rsidR="00B84563" w:rsidRPr="0071208B" w:rsidRDefault="00B84563" w:rsidP="0035616E">
      <w:pPr>
        <w:rPr>
          <w:rFonts w:ascii="Arial" w:eastAsia="Calibri" w:hAnsi="Arial" w:cs="Arial"/>
          <w:lang w:val="en-US"/>
        </w:rPr>
      </w:pPr>
      <w:r w:rsidRPr="004A56CF">
        <w:rPr>
          <w:rFonts w:ascii="Arial" w:eastAsia="Calibri" w:hAnsi="Arial" w:cs="Arial"/>
          <w:b/>
          <w:lang w:val="en-US"/>
        </w:rPr>
        <w:t>Murex anti- HCV</w:t>
      </w:r>
      <w:r w:rsidRPr="004A56CF">
        <w:rPr>
          <w:rFonts w:ascii="Arial" w:eastAsia="Calibri" w:hAnsi="Arial" w:cs="Arial"/>
          <w:lang w:val="en-US"/>
        </w:rPr>
        <w:t xml:space="preserve">. Enzyme immunoassay for the detection of antibodies to hepatitis C virus (HCV) in human serum or plasma. </w:t>
      </w:r>
      <w:r w:rsidRPr="0071208B">
        <w:rPr>
          <w:rFonts w:ascii="Arial" w:eastAsia="Calibri" w:hAnsi="Arial" w:cs="Arial"/>
          <w:lang w:val="en-US"/>
        </w:rPr>
        <w:t xml:space="preserve">South Africa: Abbott, 2007. Bula de Kit para ensaio diagnóstico. </w:t>
      </w:r>
    </w:p>
    <w:p w:rsidR="00B84563" w:rsidRPr="0071208B" w:rsidRDefault="00B84563" w:rsidP="0035616E">
      <w:pPr>
        <w:rPr>
          <w:rFonts w:ascii="Arial" w:eastAsia="Calibri" w:hAnsi="Arial" w:cs="Arial"/>
          <w:lang w:val="en-US"/>
        </w:rPr>
      </w:pPr>
    </w:p>
    <w:p w:rsidR="00B84563" w:rsidRPr="00B84563" w:rsidRDefault="00B84563" w:rsidP="0035616E">
      <w:r w:rsidRPr="004A56CF">
        <w:rPr>
          <w:rFonts w:ascii="Arial" w:eastAsia="Calibri" w:hAnsi="Arial" w:cs="Arial"/>
          <w:b/>
          <w:lang w:val="en-US"/>
        </w:rPr>
        <w:t>Murex HIV 1.2.O</w:t>
      </w:r>
      <w:r w:rsidRPr="004A56CF">
        <w:rPr>
          <w:rFonts w:ascii="Arial" w:eastAsia="Calibri" w:hAnsi="Arial" w:cs="Arial"/>
          <w:lang w:val="en-US"/>
        </w:rPr>
        <w:t xml:space="preserve">. Enzyme immunoassay for the detection of antibodies to human immunodeficiency virus types 1 (HIV-1, HIV-1,group O) and 2 (HIV-2) in human serum or plasma. </w:t>
      </w:r>
      <w:r w:rsidRPr="004A56CF">
        <w:rPr>
          <w:rFonts w:ascii="Arial" w:eastAsia="Calibri" w:hAnsi="Arial" w:cs="Arial"/>
        </w:rPr>
        <w:t xml:space="preserve">South Africa: Abbott, 2007. Bula de Kit para ensaio diagnostic. </w:t>
      </w:r>
    </w:p>
    <w:p w:rsidR="00947B4F" w:rsidRDefault="00947B4F" w:rsidP="0035616E">
      <w:pPr>
        <w:rPr>
          <w:rFonts w:ascii="Arial" w:hAnsi="Arial" w:cs="Arial"/>
        </w:rPr>
      </w:pPr>
    </w:p>
    <w:p w:rsidR="00847D42" w:rsidRDefault="00847D42" w:rsidP="0035616E">
      <w:pPr>
        <w:pStyle w:val="Default"/>
        <w:rPr>
          <w:color w:val="auto"/>
        </w:rPr>
      </w:pPr>
      <w:r w:rsidRPr="004A56CF">
        <w:rPr>
          <w:color w:val="auto"/>
        </w:rPr>
        <w:t xml:space="preserve">PINHO, M.L.G </w:t>
      </w:r>
      <w:r w:rsidRPr="004A56CF">
        <w:rPr>
          <w:i/>
          <w:color w:val="auto"/>
        </w:rPr>
        <w:t xml:space="preserve">et al. </w:t>
      </w:r>
      <w:r w:rsidRPr="004A56CF">
        <w:rPr>
          <w:color w:val="auto"/>
        </w:rPr>
        <w:t xml:space="preserve">O uso de Técnicas de Amplificação de Ácidos Nucleicos no Rastreio do HCV e do HIV nas Dádivas de Sangue. Experiencia do Hospital Geral de Santo António. Lisboa. Portugal. </w:t>
      </w:r>
      <w:r w:rsidRPr="004A56CF">
        <w:rPr>
          <w:b/>
          <w:color w:val="auto"/>
        </w:rPr>
        <w:t>Revista de Medicina Transfusional</w:t>
      </w:r>
      <w:r w:rsidRPr="004A56CF">
        <w:rPr>
          <w:color w:val="auto"/>
        </w:rPr>
        <w:t xml:space="preserve">. n. 3, p.10-19, 2000. </w:t>
      </w:r>
    </w:p>
    <w:p w:rsidR="00A17111" w:rsidRDefault="00A17111" w:rsidP="0035616E">
      <w:pPr>
        <w:pStyle w:val="Default"/>
        <w:rPr>
          <w:color w:val="auto"/>
        </w:rPr>
      </w:pPr>
    </w:p>
    <w:p w:rsidR="00A17111" w:rsidRPr="0071208B" w:rsidRDefault="00A17111" w:rsidP="0035616E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56CF">
        <w:rPr>
          <w:rFonts w:ascii="Arial" w:hAnsi="Arial" w:cs="Arial"/>
          <w:sz w:val="24"/>
          <w:szCs w:val="24"/>
        </w:rPr>
        <w:t xml:space="preserve">SIEMENS. Siemens Healthcare Diagnostics. </w:t>
      </w:r>
      <w:r w:rsidRPr="004A56CF">
        <w:rPr>
          <w:rFonts w:ascii="Arial" w:hAnsi="Arial" w:cs="Arial"/>
          <w:b/>
          <w:sz w:val="24"/>
          <w:szCs w:val="24"/>
        </w:rPr>
        <w:t>ADVIA Centaur</w:t>
      </w:r>
      <w:r w:rsidRPr="004A56CF">
        <w:rPr>
          <w:rFonts w:ascii="Arial" w:hAnsi="Arial" w:cs="Arial"/>
          <w:sz w:val="24"/>
          <w:szCs w:val="24"/>
        </w:rPr>
        <w:t xml:space="preserve">. Disponível em: </w:t>
      </w:r>
      <w:r w:rsidRPr="00A17111">
        <w:rPr>
          <w:rFonts w:ascii="Arial" w:hAnsi="Arial" w:cs="Arial"/>
          <w:sz w:val="24"/>
          <w:szCs w:val="24"/>
        </w:rPr>
        <w:t>&lt;</w:t>
      </w:r>
      <w:hyperlink r:id="rId11" w:history="1">
        <w:r w:rsidRPr="00A1711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http://www.medcorp.com.br/medcorp/upload/downloads/SI_CentaurXP_cat_hepatitesehiv_200994155258.pdf</w:t>
        </w:r>
      </w:hyperlink>
      <w:r w:rsidRPr="004A56CF">
        <w:rPr>
          <w:rFonts w:ascii="Arial" w:hAnsi="Arial" w:cs="Arial"/>
          <w:sz w:val="24"/>
          <w:szCs w:val="24"/>
        </w:rPr>
        <w:t>&gt;</w:t>
      </w:r>
      <w:r w:rsidRPr="004A56CF">
        <w:rPr>
          <w:rFonts w:ascii="Arial" w:hAnsi="Arial" w:cs="Arial"/>
          <w:color w:val="1F497D"/>
          <w:sz w:val="24"/>
          <w:szCs w:val="24"/>
        </w:rPr>
        <w:t>.</w:t>
      </w:r>
      <w:r w:rsidRPr="004A56CF">
        <w:rPr>
          <w:rFonts w:ascii="Arial" w:hAnsi="Arial" w:cs="Arial"/>
          <w:sz w:val="24"/>
          <w:szCs w:val="24"/>
        </w:rPr>
        <w:t xml:space="preserve"> </w:t>
      </w:r>
      <w:r w:rsidRPr="0071208B">
        <w:rPr>
          <w:rFonts w:ascii="Arial" w:hAnsi="Arial" w:cs="Arial"/>
          <w:sz w:val="24"/>
          <w:szCs w:val="24"/>
          <w:lang w:val="en-US"/>
        </w:rPr>
        <w:t>Acesso em: 21.out.2014</w:t>
      </w:r>
    </w:p>
    <w:p w:rsidR="008D03BA" w:rsidRPr="0071208B" w:rsidRDefault="008D03BA" w:rsidP="0035616E">
      <w:pPr>
        <w:rPr>
          <w:rFonts w:ascii="Arial" w:hAnsi="Arial" w:cs="Arial"/>
          <w:lang w:val="en-US"/>
        </w:rPr>
      </w:pPr>
    </w:p>
    <w:p w:rsidR="003F26F6" w:rsidRPr="004A56CF" w:rsidRDefault="003F26F6" w:rsidP="0035616E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56CF">
        <w:rPr>
          <w:rFonts w:ascii="Arial" w:hAnsi="Arial" w:cs="Arial"/>
          <w:sz w:val="24"/>
          <w:szCs w:val="24"/>
          <w:lang w:val="en-US"/>
        </w:rPr>
        <w:t xml:space="preserve">STRAMER, S.L </w:t>
      </w:r>
      <w:r w:rsidRPr="004A56CF">
        <w:rPr>
          <w:rFonts w:ascii="Arial" w:hAnsi="Arial" w:cs="Arial"/>
          <w:i/>
          <w:sz w:val="24"/>
          <w:szCs w:val="24"/>
          <w:lang w:val="en-US"/>
        </w:rPr>
        <w:t xml:space="preserve">et al. </w:t>
      </w:r>
      <w:r w:rsidRPr="004A56CF">
        <w:rPr>
          <w:rFonts w:ascii="Arial" w:hAnsi="Arial" w:cs="Arial"/>
          <w:sz w:val="24"/>
          <w:szCs w:val="24"/>
          <w:lang w:val="en-US"/>
        </w:rPr>
        <w:t>Detection of HIV-1 and HCV infections among Antibody-Negative Blood Donors by Nucleic Acid- Amplification Testing.</w:t>
      </w:r>
      <w:r w:rsidRPr="004A56CF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4A56CF">
        <w:rPr>
          <w:rFonts w:ascii="Arial" w:hAnsi="Arial" w:cs="Arial"/>
          <w:sz w:val="24"/>
          <w:szCs w:val="24"/>
          <w:lang w:val="en-US"/>
        </w:rPr>
        <w:t xml:space="preserve">Massachusetts. Estados Unidos. </w:t>
      </w:r>
      <w:r w:rsidRPr="004A56CF">
        <w:rPr>
          <w:rFonts w:ascii="Arial" w:hAnsi="Arial" w:cs="Arial"/>
          <w:b/>
          <w:sz w:val="24"/>
          <w:szCs w:val="24"/>
          <w:lang w:val="en-US"/>
        </w:rPr>
        <w:t>New England Journal of Medicine</w:t>
      </w:r>
      <w:r w:rsidRPr="004A56CF">
        <w:rPr>
          <w:rFonts w:ascii="Arial" w:hAnsi="Arial" w:cs="Arial"/>
          <w:sz w:val="24"/>
          <w:szCs w:val="24"/>
          <w:lang w:val="en-US"/>
        </w:rPr>
        <w:t xml:space="preserve">. v. 351, nº 8, p. 760-768, 2004. </w:t>
      </w:r>
    </w:p>
    <w:p w:rsidR="003F26F6" w:rsidRPr="003F26F6" w:rsidRDefault="003F26F6" w:rsidP="0035616E">
      <w:pPr>
        <w:rPr>
          <w:rFonts w:ascii="Arial" w:hAnsi="Arial" w:cs="Arial"/>
          <w:lang w:val="en-US"/>
        </w:rPr>
      </w:pPr>
    </w:p>
    <w:p w:rsidR="008D03BA" w:rsidRPr="0035616E" w:rsidRDefault="008D03BA" w:rsidP="0035616E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56CF">
        <w:rPr>
          <w:rFonts w:ascii="Arial" w:hAnsi="Arial" w:cs="Arial"/>
          <w:sz w:val="24"/>
          <w:szCs w:val="24"/>
          <w:lang w:val="en-US"/>
        </w:rPr>
        <w:t xml:space="preserve">WHO-World Health Organization. Departament of Essencial Health Technologies. Blood Transfusion Safety Unit. </w:t>
      </w:r>
      <w:r w:rsidRPr="004A56CF">
        <w:rPr>
          <w:rFonts w:ascii="Arial" w:hAnsi="Arial" w:cs="Arial"/>
          <w:b/>
          <w:sz w:val="24"/>
          <w:szCs w:val="24"/>
          <w:lang w:val="en-US"/>
        </w:rPr>
        <w:t xml:space="preserve">Universal Access to Safe Blood Transfusion, </w:t>
      </w:r>
      <w:r w:rsidRPr="004A56CF">
        <w:rPr>
          <w:rFonts w:ascii="Arial" w:hAnsi="Arial" w:cs="Arial"/>
          <w:sz w:val="24"/>
          <w:szCs w:val="24"/>
          <w:lang w:val="en-US"/>
        </w:rPr>
        <w:t>Geneva, 2008.</w:t>
      </w:r>
      <w:r w:rsidRPr="002F21CC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8D03BA" w:rsidRPr="0035616E" w:rsidSect="006C48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90" w:rsidRDefault="001E3F90" w:rsidP="009C6A92">
      <w:r>
        <w:separator/>
      </w:r>
    </w:p>
  </w:endnote>
  <w:endnote w:type="continuationSeparator" w:id="0">
    <w:p w:rsidR="001E3F90" w:rsidRDefault="001E3F90" w:rsidP="009C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90" w:rsidRDefault="001E3F90" w:rsidP="009C6A92">
      <w:r>
        <w:separator/>
      </w:r>
    </w:p>
  </w:footnote>
  <w:footnote w:type="continuationSeparator" w:id="0">
    <w:p w:rsidR="001E3F90" w:rsidRDefault="001E3F90" w:rsidP="009C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5B5"/>
    <w:multiLevelType w:val="hybridMultilevel"/>
    <w:tmpl w:val="3C34E496"/>
    <w:lvl w:ilvl="0" w:tplc="0416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0CF13D2"/>
    <w:multiLevelType w:val="multilevel"/>
    <w:tmpl w:val="549A0B7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7C04F18"/>
    <w:multiLevelType w:val="hybridMultilevel"/>
    <w:tmpl w:val="3898B2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13F79"/>
    <w:multiLevelType w:val="multilevel"/>
    <w:tmpl w:val="04160025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" w:hAnsi="Arial" w:cs="Arial"/>
          <w:caps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2"/>
    <w:rsid w:val="000038FC"/>
    <w:rsid w:val="000219DA"/>
    <w:rsid w:val="000274C4"/>
    <w:rsid w:val="00043530"/>
    <w:rsid w:val="00044468"/>
    <w:rsid w:val="00055257"/>
    <w:rsid w:val="000552C8"/>
    <w:rsid w:val="000669A3"/>
    <w:rsid w:val="00067990"/>
    <w:rsid w:val="00080C71"/>
    <w:rsid w:val="000819CA"/>
    <w:rsid w:val="00086918"/>
    <w:rsid w:val="000956C8"/>
    <w:rsid w:val="000A4D92"/>
    <w:rsid w:val="000A7B20"/>
    <w:rsid w:val="000B0315"/>
    <w:rsid w:val="000C28D4"/>
    <w:rsid w:val="00124F15"/>
    <w:rsid w:val="00133BE4"/>
    <w:rsid w:val="00144122"/>
    <w:rsid w:val="00150818"/>
    <w:rsid w:val="0015120A"/>
    <w:rsid w:val="00172782"/>
    <w:rsid w:val="001E3F90"/>
    <w:rsid w:val="001F0CA5"/>
    <w:rsid w:val="001F19F1"/>
    <w:rsid w:val="002866B9"/>
    <w:rsid w:val="002B55CF"/>
    <w:rsid w:val="002C3BC7"/>
    <w:rsid w:val="003139C3"/>
    <w:rsid w:val="00317DB4"/>
    <w:rsid w:val="003266E7"/>
    <w:rsid w:val="0035616E"/>
    <w:rsid w:val="00395859"/>
    <w:rsid w:val="0039732B"/>
    <w:rsid w:val="003C1D04"/>
    <w:rsid w:val="003F26F6"/>
    <w:rsid w:val="00436B5A"/>
    <w:rsid w:val="004641A8"/>
    <w:rsid w:val="00482C6D"/>
    <w:rsid w:val="004A61FC"/>
    <w:rsid w:val="004F5DAF"/>
    <w:rsid w:val="00516B5C"/>
    <w:rsid w:val="00552827"/>
    <w:rsid w:val="005604A5"/>
    <w:rsid w:val="00587CFB"/>
    <w:rsid w:val="00590006"/>
    <w:rsid w:val="005A7D1C"/>
    <w:rsid w:val="005F7D1C"/>
    <w:rsid w:val="0060776E"/>
    <w:rsid w:val="00620751"/>
    <w:rsid w:val="00636D10"/>
    <w:rsid w:val="00680C39"/>
    <w:rsid w:val="006A2900"/>
    <w:rsid w:val="006B4719"/>
    <w:rsid w:val="006C48C9"/>
    <w:rsid w:val="006E03E1"/>
    <w:rsid w:val="006F4B5F"/>
    <w:rsid w:val="0071208B"/>
    <w:rsid w:val="00753722"/>
    <w:rsid w:val="00766510"/>
    <w:rsid w:val="00776E2D"/>
    <w:rsid w:val="007972CE"/>
    <w:rsid w:val="007A7313"/>
    <w:rsid w:val="007B76A8"/>
    <w:rsid w:val="007C142A"/>
    <w:rsid w:val="007D35D8"/>
    <w:rsid w:val="007E5462"/>
    <w:rsid w:val="00822B93"/>
    <w:rsid w:val="00825C35"/>
    <w:rsid w:val="00847D42"/>
    <w:rsid w:val="00851324"/>
    <w:rsid w:val="0085626D"/>
    <w:rsid w:val="00865335"/>
    <w:rsid w:val="00875C7A"/>
    <w:rsid w:val="0088399B"/>
    <w:rsid w:val="008A423D"/>
    <w:rsid w:val="008D03BA"/>
    <w:rsid w:val="0090785B"/>
    <w:rsid w:val="00947B4F"/>
    <w:rsid w:val="00992212"/>
    <w:rsid w:val="009B038B"/>
    <w:rsid w:val="009C6A92"/>
    <w:rsid w:val="009D13A5"/>
    <w:rsid w:val="009E38EA"/>
    <w:rsid w:val="00A17111"/>
    <w:rsid w:val="00A25C98"/>
    <w:rsid w:val="00A27D3C"/>
    <w:rsid w:val="00A35FF7"/>
    <w:rsid w:val="00A5671B"/>
    <w:rsid w:val="00A729CB"/>
    <w:rsid w:val="00A75E5E"/>
    <w:rsid w:val="00A82D54"/>
    <w:rsid w:val="00A83901"/>
    <w:rsid w:val="00A96E5C"/>
    <w:rsid w:val="00AA6090"/>
    <w:rsid w:val="00B010F3"/>
    <w:rsid w:val="00B01AD8"/>
    <w:rsid w:val="00B2384B"/>
    <w:rsid w:val="00B37200"/>
    <w:rsid w:val="00B570A4"/>
    <w:rsid w:val="00B6078D"/>
    <w:rsid w:val="00B61D3B"/>
    <w:rsid w:val="00B84563"/>
    <w:rsid w:val="00BA1393"/>
    <w:rsid w:val="00BC1EE7"/>
    <w:rsid w:val="00BE7213"/>
    <w:rsid w:val="00C07C0E"/>
    <w:rsid w:val="00C267B1"/>
    <w:rsid w:val="00C531A4"/>
    <w:rsid w:val="00C533EF"/>
    <w:rsid w:val="00C84298"/>
    <w:rsid w:val="00C876A7"/>
    <w:rsid w:val="00C8770E"/>
    <w:rsid w:val="00C95D8C"/>
    <w:rsid w:val="00CA0C12"/>
    <w:rsid w:val="00CF7F33"/>
    <w:rsid w:val="00D02FAB"/>
    <w:rsid w:val="00D10557"/>
    <w:rsid w:val="00D34165"/>
    <w:rsid w:val="00D4169B"/>
    <w:rsid w:val="00D50563"/>
    <w:rsid w:val="00D729B3"/>
    <w:rsid w:val="00D76469"/>
    <w:rsid w:val="00D94D6A"/>
    <w:rsid w:val="00DA1CB3"/>
    <w:rsid w:val="00DE159A"/>
    <w:rsid w:val="00E20CF6"/>
    <w:rsid w:val="00E326D0"/>
    <w:rsid w:val="00E41C98"/>
    <w:rsid w:val="00E5248B"/>
    <w:rsid w:val="00E759CE"/>
    <w:rsid w:val="00E9168E"/>
    <w:rsid w:val="00E944FE"/>
    <w:rsid w:val="00E979B4"/>
    <w:rsid w:val="00E97A19"/>
    <w:rsid w:val="00EB1113"/>
    <w:rsid w:val="00EB2173"/>
    <w:rsid w:val="00EB3275"/>
    <w:rsid w:val="00EC0ABF"/>
    <w:rsid w:val="00ED3302"/>
    <w:rsid w:val="00ED698B"/>
    <w:rsid w:val="00EE588C"/>
    <w:rsid w:val="00EF20F5"/>
    <w:rsid w:val="00EF2B43"/>
    <w:rsid w:val="00EF5CCC"/>
    <w:rsid w:val="00F35E89"/>
    <w:rsid w:val="00F732FB"/>
    <w:rsid w:val="00F7335A"/>
    <w:rsid w:val="00F76799"/>
    <w:rsid w:val="00F903FA"/>
    <w:rsid w:val="00F92D04"/>
    <w:rsid w:val="00F94D92"/>
    <w:rsid w:val="00FA3442"/>
    <w:rsid w:val="00FA3715"/>
    <w:rsid w:val="00FB2C61"/>
    <w:rsid w:val="00FC52F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3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E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FA3715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142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533EF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C533E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533EF"/>
    <w:rPr>
      <w:noProof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9"/>
    <w:rsid w:val="00FA3715"/>
    <w:rPr>
      <w:rFonts w:ascii="Arial" w:eastAsia="Times New Roman" w:hAnsi="Arial" w:cs="Times New Roman"/>
      <w:i/>
      <w:iCs/>
      <w:color w:val="243F6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3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35E8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numbering" w:customStyle="1" w:styleId="Estilo1">
    <w:name w:val="Estilo1"/>
    <w:rsid w:val="00F35E89"/>
    <w:pPr>
      <w:numPr>
        <w:numId w:val="3"/>
      </w:numPr>
    </w:pPr>
  </w:style>
  <w:style w:type="paragraph" w:styleId="SemEspaamento">
    <w:name w:val="No Spacing"/>
    <w:uiPriority w:val="1"/>
    <w:qFormat/>
    <w:rsid w:val="008D03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7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B21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3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E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FA3715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142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533EF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C533E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533EF"/>
    <w:rPr>
      <w:noProof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9"/>
    <w:rsid w:val="00FA3715"/>
    <w:rPr>
      <w:rFonts w:ascii="Arial" w:eastAsia="Times New Roman" w:hAnsi="Arial" w:cs="Times New Roman"/>
      <w:i/>
      <w:iCs/>
      <w:color w:val="243F6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3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35E8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numbering" w:customStyle="1" w:styleId="Estilo1">
    <w:name w:val="Estilo1"/>
    <w:rsid w:val="00F35E89"/>
    <w:pPr>
      <w:numPr>
        <w:numId w:val="3"/>
      </w:numPr>
    </w:pPr>
  </w:style>
  <w:style w:type="paragraph" w:styleId="SemEspaamento">
    <w:name w:val="No Spacing"/>
    <w:uiPriority w:val="1"/>
    <w:qFormat/>
    <w:rsid w:val="008D03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7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B2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corp.com.br/medcorp/upload/downloads/SI_CentaurXP_cat_hepatitesehiv_20099415525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dsang.ial.sp.gov.br/site/docs_leis/nt/nt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epi.com/Menu/OE_Menu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0CBD-553A-4607-948F-81FFCDCE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4162</Words>
  <Characters>22478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Faculdades Pequeno Príncipe</cp:lastModifiedBy>
  <cp:revision>2</cp:revision>
  <dcterms:created xsi:type="dcterms:W3CDTF">2017-11-22T16:58:00Z</dcterms:created>
  <dcterms:modified xsi:type="dcterms:W3CDTF">2017-11-22T16:58:00Z</dcterms:modified>
</cp:coreProperties>
</file>