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69C840" w14:textId="77777777" w:rsidR="004207F9" w:rsidRDefault="00362D53">
      <w:pPr>
        <w:pStyle w:val="Normal1"/>
        <w:spacing w:before="100" w:after="100"/>
        <w:jc w:val="center"/>
      </w:pPr>
      <w:r>
        <w:rPr>
          <w:rFonts w:ascii="Arial" w:eastAsia="Arial" w:hAnsi="Arial" w:cs="Arial"/>
          <w:b/>
        </w:rPr>
        <w:t>ESTRATÉGIAS PARA IDENTIFICAÇÃO DE MUTAÇÃO NO GENE CFTR</w:t>
      </w:r>
    </w:p>
    <w:p w14:paraId="1A3441C7" w14:textId="77777777" w:rsidR="004207F9" w:rsidRDefault="00362D53">
      <w:pPr>
        <w:pStyle w:val="Normal1"/>
        <w:spacing w:before="100" w:after="100"/>
        <w:jc w:val="right"/>
      </w:pPr>
      <w:r>
        <w:rPr>
          <w:rFonts w:ascii="Arial" w:eastAsia="Arial" w:hAnsi="Arial" w:cs="Arial"/>
        </w:rPr>
        <w:t>Faculdades Pequeno Príncipe</w:t>
      </w:r>
    </w:p>
    <w:p w14:paraId="61CC32CD" w14:textId="77777777" w:rsidR="004207F9" w:rsidRDefault="00362D53">
      <w:pPr>
        <w:pStyle w:val="Normal1"/>
        <w:jc w:val="right"/>
      </w:pPr>
      <w:r>
        <w:rPr>
          <w:rFonts w:ascii="Arial" w:eastAsia="Arial" w:hAnsi="Arial" w:cs="Arial"/>
        </w:rPr>
        <w:t xml:space="preserve">Franciele Bona Verzeletti </w:t>
      </w:r>
      <w:r>
        <w:rPr>
          <w:rFonts w:ascii="Arial" w:eastAsia="Arial" w:hAnsi="Arial" w:cs="Arial"/>
          <w:vertAlign w:val="superscript"/>
        </w:rPr>
        <w:t>1</w:t>
      </w:r>
    </w:p>
    <w:p w14:paraId="71C5D58F" w14:textId="77777777" w:rsidR="004207F9" w:rsidRDefault="00362D53">
      <w:pPr>
        <w:pStyle w:val="Normal1"/>
        <w:jc w:val="right"/>
      </w:pPr>
      <w:r>
        <w:rPr>
          <w:rFonts w:ascii="Arial" w:eastAsia="Arial" w:hAnsi="Arial" w:cs="Arial"/>
        </w:rPr>
        <w:t xml:space="preserve">Carolina Cardoso de Mello Prando </w:t>
      </w:r>
      <w:r>
        <w:rPr>
          <w:rFonts w:ascii="Arial" w:eastAsia="Arial" w:hAnsi="Arial" w:cs="Arial"/>
          <w:vertAlign w:val="superscript"/>
        </w:rPr>
        <w:t>2</w:t>
      </w:r>
    </w:p>
    <w:p w14:paraId="4D9ECF27" w14:textId="77777777" w:rsidR="004207F9" w:rsidRDefault="00362D53">
      <w:pPr>
        <w:pStyle w:val="Normal1"/>
        <w:jc w:val="right"/>
      </w:pPr>
      <w:r>
        <w:rPr>
          <w:rFonts w:ascii="Arial" w:eastAsia="Arial" w:hAnsi="Arial" w:cs="Arial"/>
        </w:rPr>
        <w:t>Roberto Rosati</w:t>
      </w:r>
      <w:r>
        <w:rPr>
          <w:rFonts w:ascii="Arial" w:eastAsia="Arial" w:hAnsi="Arial" w:cs="Arial"/>
          <w:vertAlign w:val="superscript"/>
        </w:rPr>
        <w:t xml:space="preserve"> 3</w:t>
      </w:r>
    </w:p>
    <w:p w14:paraId="607DDCEA" w14:textId="77777777" w:rsidR="004207F9" w:rsidRDefault="004207F9">
      <w:pPr>
        <w:pStyle w:val="Normal1"/>
        <w:jc w:val="right"/>
      </w:pPr>
    </w:p>
    <w:p w14:paraId="5790DD5D" w14:textId="77777777" w:rsidR="004207F9" w:rsidRDefault="004207F9">
      <w:pPr>
        <w:pStyle w:val="Normal1"/>
        <w:jc w:val="both"/>
      </w:pPr>
    </w:p>
    <w:p w14:paraId="0D5022FA" w14:textId="0D83DD05" w:rsidR="00AF4CFB" w:rsidRDefault="00362D53" w:rsidP="00397598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fibrose cística (FC) é uma doença autossômica recessiva causada por mutações no gene regulador da condutância transmembrana da fibrose cística (</w:t>
      </w:r>
      <w:r w:rsidRPr="007F3616">
        <w:rPr>
          <w:rFonts w:ascii="Arial" w:eastAsia="Arial" w:hAnsi="Arial" w:cs="Arial"/>
          <w:i/>
        </w:rPr>
        <w:t>CFTR</w:t>
      </w:r>
      <w:r>
        <w:rPr>
          <w:rFonts w:ascii="Arial" w:eastAsia="Arial" w:hAnsi="Arial" w:cs="Arial"/>
        </w:rPr>
        <w:t xml:space="preserve">), localizado </w:t>
      </w:r>
      <w:r w:rsidRPr="00DD2AE3">
        <w:rPr>
          <w:rFonts w:ascii="Arial" w:eastAsia="Arial" w:hAnsi="Arial" w:cs="Arial"/>
        </w:rPr>
        <w:t xml:space="preserve">no cromossomo 7q31. </w:t>
      </w:r>
      <w:r w:rsidR="00E66942" w:rsidRPr="00DD2AE3">
        <w:rPr>
          <w:rFonts w:ascii="Arial" w:eastAsia="Arial" w:hAnsi="Arial" w:cs="Arial"/>
          <w:color w:val="auto"/>
        </w:rPr>
        <w:t>Do ponto de vista clínico</w:t>
      </w:r>
      <w:r w:rsidR="009A0AA8">
        <w:rPr>
          <w:rFonts w:ascii="Arial" w:eastAsia="Arial" w:hAnsi="Arial" w:cs="Arial"/>
          <w:color w:val="auto"/>
        </w:rPr>
        <w:t>,</w:t>
      </w:r>
      <w:r w:rsidR="00E66942" w:rsidRPr="00DD2AE3">
        <w:rPr>
          <w:rFonts w:ascii="Arial" w:eastAsia="Arial" w:hAnsi="Arial" w:cs="Arial"/>
          <w:color w:val="auto"/>
        </w:rPr>
        <w:t xml:space="preserve"> a doença</w:t>
      </w:r>
      <w:r w:rsidR="00895857" w:rsidRPr="00DD2AE3">
        <w:rPr>
          <w:rFonts w:ascii="Arial" w:eastAsia="Arial" w:hAnsi="Arial" w:cs="Arial"/>
          <w:color w:val="auto"/>
        </w:rPr>
        <w:t>, que</w:t>
      </w:r>
      <w:r w:rsidR="00E66942" w:rsidRPr="00DD2AE3">
        <w:rPr>
          <w:rFonts w:ascii="Arial" w:eastAsia="Arial" w:hAnsi="Arial" w:cs="Arial"/>
          <w:color w:val="auto"/>
        </w:rPr>
        <w:t xml:space="preserve"> é</w:t>
      </w:r>
      <w:r w:rsidR="008C6DA4" w:rsidRPr="00DD2AE3">
        <w:rPr>
          <w:rFonts w:ascii="Arial" w:eastAsia="Arial" w:hAnsi="Arial" w:cs="Arial"/>
          <w:color w:val="auto"/>
        </w:rPr>
        <w:t xml:space="preserve"> caracterizada pela tríade </w:t>
      </w:r>
      <w:r w:rsidR="00DD2AE3" w:rsidRPr="00DD2AE3">
        <w:rPr>
          <w:rFonts w:ascii="Arial" w:eastAsia="Arial" w:hAnsi="Arial" w:cs="Arial"/>
          <w:color w:val="auto"/>
        </w:rPr>
        <w:t>tripsina imunorreativa (IRT), teste do suor e diagnóstico genético-molecular</w:t>
      </w:r>
      <w:r w:rsidR="00E66942" w:rsidRPr="00DD2AE3">
        <w:rPr>
          <w:rFonts w:ascii="Arial" w:eastAsia="Arial" w:hAnsi="Arial" w:cs="Arial"/>
          <w:color w:val="auto"/>
        </w:rPr>
        <w:t xml:space="preserve">, </w:t>
      </w:r>
      <w:r w:rsidR="00895857" w:rsidRPr="00DD2AE3">
        <w:rPr>
          <w:rFonts w:ascii="Arial" w:eastAsia="Arial" w:hAnsi="Arial" w:cs="Arial"/>
          <w:color w:val="auto"/>
        </w:rPr>
        <w:t>apresenta</w:t>
      </w:r>
      <w:r w:rsidR="00895857" w:rsidRPr="00397598">
        <w:rPr>
          <w:rFonts w:ascii="Arial" w:eastAsia="Arial" w:hAnsi="Arial" w:cs="Arial"/>
          <w:color w:val="auto"/>
        </w:rPr>
        <w:t xml:space="preserve">-se, </w:t>
      </w:r>
      <w:r w:rsidR="00E66942" w:rsidRPr="00397598">
        <w:rPr>
          <w:rFonts w:ascii="Arial" w:eastAsia="Arial" w:hAnsi="Arial" w:cs="Arial"/>
          <w:color w:val="auto"/>
        </w:rPr>
        <w:t>na maioria dos casos, assintomática ao nascimento. Assim, o teste de triagem neonatal</w:t>
      </w:r>
      <w:r w:rsidR="009A0AA8">
        <w:rPr>
          <w:rFonts w:ascii="Arial" w:eastAsia="Arial" w:hAnsi="Arial" w:cs="Arial"/>
          <w:color w:val="auto"/>
        </w:rPr>
        <w:t xml:space="preserve"> para FC é crucial para o diagnó</w:t>
      </w:r>
      <w:r w:rsidR="00E66942" w:rsidRPr="00397598">
        <w:rPr>
          <w:rFonts w:ascii="Arial" w:eastAsia="Arial" w:hAnsi="Arial" w:cs="Arial"/>
          <w:color w:val="auto"/>
        </w:rPr>
        <w:t xml:space="preserve">stico precoce. </w:t>
      </w:r>
      <w:r w:rsidR="008C6DA4" w:rsidRPr="00397598">
        <w:rPr>
          <w:rFonts w:ascii="Arial" w:eastAsia="Arial" w:hAnsi="Arial" w:cs="Arial"/>
          <w:color w:val="auto"/>
        </w:rPr>
        <w:t>No Brasil</w:t>
      </w:r>
      <w:r w:rsidR="009A0AA8">
        <w:rPr>
          <w:rFonts w:ascii="Arial" w:eastAsia="Arial" w:hAnsi="Arial" w:cs="Arial"/>
          <w:color w:val="auto"/>
        </w:rPr>
        <w:t>,</w:t>
      </w:r>
      <w:r w:rsidR="008C6DA4" w:rsidRPr="00397598">
        <w:rPr>
          <w:rFonts w:ascii="Arial" w:eastAsia="Arial" w:hAnsi="Arial" w:cs="Arial"/>
          <w:color w:val="auto"/>
        </w:rPr>
        <w:t xml:space="preserve"> o teste de triagem para FC é feito pelo método da dosagem de</w:t>
      </w:r>
      <w:r w:rsidR="00DD2AE3">
        <w:rPr>
          <w:rFonts w:ascii="Arial" w:eastAsia="Arial" w:hAnsi="Arial" w:cs="Arial"/>
          <w:color w:val="auto"/>
        </w:rPr>
        <w:t xml:space="preserve"> IRT</w:t>
      </w:r>
      <w:r w:rsidR="002E11D9" w:rsidRPr="00397598">
        <w:rPr>
          <w:rFonts w:ascii="Arial" w:eastAsia="Arial" w:hAnsi="Arial" w:cs="Arial"/>
          <w:color w:val="auto"/>
        </w:rPr>
        <w:t xml:space="preserve">. </w:t>
      </w:r>
      <w:r w:rsidR="008C6DA4" w:rsidRPr="00397598">
        <w:rPr>
          <w:rFonts w:ascii="Arial" w:eastAsia="Arial" w:hAnsi="Arial" w:cs="Arial"/>
          <w:color w:val="auto"/>
        </w:rPr>
        <w:t>Em seguida</w:t>
      </w:r>
      <w:r w:rsidR="00DD2AE3">
        <w:rPr>
          <w:rFonts w:ascii="Arial" w:eastAsia="Arial" w:hAnsi="Arial" w:cs="Arial"/>
          <w:color w:val="auto"/>
        </w:rPr>
        <w:t xml:space="preserve">, recém-nascidos com IRT compatível </w:t>
      </w:r>
      <w:r w:rsidR="009A0AA8">
        <w:rPr>
          <w:rFonts w:ascii="Arial" w:eastAsia="Arial" w:hAnsi="Arial" w:cs="Arial"/>
          <w:color w:val="auto"/>
        </w:rPr>
        <w:t>para</w:t>
      </w:r>
      <w:r w:rsidR="00DD2AE3">
        <w:rPr>
          <w:rFonts w:ascii="Arial" w:eastAsia="Arial" w:hAnsi="Arial" w:cs="Arial"/>
          <w:color w:val="auto"/>
        </w:rPr>
        <w:t xml:space="preserve"> FC sã</w:t>
      </w:r>
      <w:r w:rsidR="008C6DA4" w:rsidRPr="00397598">
        <w:rPr>
          <w:rFonts w:ascii="Arial" w:eastAsia="Arial" w:hAnsi="Arial" w:cs="Arial"/>
          <w:color w:val="auto"/>
        </w:rPr>
        <w:t>o encaminhados para confirmação pelo teste do suor.</w:t>
      </w:r>
      <w:r w:rsidR="008F3E38" w:rsidRPr="00397598">
        <w:rPr>
          <w:rFonts w:ascii="Arial" w:eastAsia="Arial" w:hAnsi="Arial" w:cs="Arial"/>
          <w:color w:val="auto"/>
        </w:rPr>
        <w:t xml:space="preserve"> A </w:t>
      </w:r>
      <w:r w:rsidR="00397598" w:rsidRPr="00397598">
        <w:rPr>
          <w:rFonts w:ascii="Arial" w:eastAsia="Arial" w:hAnsi="Arial" w:cs="Arial"/>
          <w:color w:val="auto"/>
        </w:rPr>
        <w:t>conclusã</w:t>
      </w:r>
      <w:r w:rsidR="008C6DA4" w:rsidRPr="00397598">
        <w:rPr>
          <w:rFonts w:ascii="Arial" w:eastAsia="Arial" w:hAnsi="Arial" w:cs="Arial"/>
          <w:color w:val="auto"/>
        </w:rPr>
        <w:t>o</w:t>
      </w:r>
      <w:r w:rsidR="008F3E38" w:rsidRPr="00397598">
        <w:rPr>
          <w:rFonts w:ascii="Arial" w:eastAsia="Arial" w:hAnsi="Arial" w:cs="Arial"/>
          <w:color w:val="auto"/>
        </w:rPr>
        <w:t xml:space="preserve"> do</w:t>
      </w:r>
      <w:r w:rsidR="008F3E38" w:rsidRPr="008F3E38">
        <w:rPr>
          <w:rFonts w:ascii="Arial" w:eastAsia="Arial" w:hAnsi="Arial" w:cs="Arial"/>
          <w:color w:val="auto"/>
        </w:rPr>
        <w:t xml:space="preserve"> diagnóstico</w:t>
      </w:r>
      <w:r w:rsidR="008C6DA4" w:rsidRPr="00397598">
        <w:rPr>
          <w:rFonts w:ascii="Arial" w:eastAsia="Arial" w:hAnsi="Arial" w:cs="Arial"/>
          <w:color w:val="auto"/>
        </w:rPr>
        <w:t>, pela caracterização</w:t>
      </w:r>
      <w:r w:rsidR="008F3E38" w:rsidRPr="00397598">
        <w:rPr>
          <w:rFonts w:ascii="Arial" w:eastAsia="Arial" w:hAnsi="Arial" w:cs="Arial"/>
          <w:color w:val="auto"/>
        </w:rPr>
        <w:t xml:space="preserve"> gené</w:t>
      </w:r>
      <w:r w:rsidR="008C6DA4" w:rsidRPr="00397598">
        <w:rPr>
          <w:rFonts w:ascii="Arial" w:eastAsia="Arial" w:hAnsi="Arial" w:cs="Arial"/>
          <w:color w:val="auto"/>
        </w:rPr>
        <w:t>tico-molecular da FC é realizada</w:t>
      </w:r>
      <w:r w:rsidR="008F3E38" w:rsidRPr="00397598">
        <w:rPr>
          <w:rFonts w:ascii="Arial" w:eastAsia="Arial" w:hAnsi="Arial" w:cs="Arial"/>
          <w:color w:val="auto"/>
        </w:rPr>
        <w:t xml:space="preserve"> pelo achado de mutações no gene </w:t>
      </w:r>
      <w:r w:rsidR="008F3E38" w:rsidRPr="00397598">
        <w:rPr>
          <w:rFonts w:ascii="Arial" w:eastAsia="Arial" w:hAnsi="Arial" w:cs="Arial"/>
          <w:i/>
          <w:color w:val="auto"/>
        </w:rPr>
        <w:t>CFTR</w:t>
      </w:r>
      <w:r w:rsidR="008F3E38" w:rsidRPr="00397598">
        <w:rPr>
          <w:rFonts w:ascii="Arial" w:eastAsia="Arial" w:hAnsi="Arial" w:cs="Arial"/>
          <w:color w:val="auto"/>
        </w:rPr>
        <w:t>.</w:t>
      </w:r>
      <w:r w:rsidR="008F3E38" w:rsidRPr="008F3E38">
        <w:rPr>
          <w:rFonts w:ascii="Arial" w:eastAsia="Arial" w:hAnsi="Arial" w:cs="Arial"/>
          <w:color w:val="auto"/>
        </w:rPr>
        <w:t xml:space="preserve"> </w:t>
      </w:r>
      <w:r w:rsidR="002E11D9">
        <w:rPr>
          <w:rFonts w:ascii="Arial" w:hAnsi="Arial"/>
          <w:color w:val="auto"/>
        </w:rPr>
        <w:t>A</w:t>
      </w:r>
      <w:r w:rsidR="008F3E38" w:rsidRPr="008F3E38">
        <w:rPr>
          <w:rFonts w:ascii="Arial" w:hAnsi="Arial"/>
          <w:color w:val="auto"/>
        </w:rPr>
        <w:t xml:space="preserve"> identificação da mutação tem importância pa</w:t>
      </w:r>
      <w:r w:rsidR="00264D30">
        <w:rPr>
          <w:rFonts w:ascii="Arial" w:hAnsi="Arial"/>
          <w:color w:val="auto"/>
        </w:rPr>
        <w:t>ra aconselhamento genético e</w:t>
      </w:r>
      <w:r w:rsidR="008F3E38" w:rsidRPr="008F3E38">
        <w:rPr>
          <w:rFonts w:ascii="Arial" w:hAnsi="Arial"/>
          <w:color w:val="auto"/>
        </w:rPr>
        <w:t xml:space="preserve"> o</w:t>
      </w:r>
      <w:r w:rsidR="0020754A">
        <w:rPr>
          <w:rFonts w:ascii="Arial" w:hAnsi="Arial"/>
          <w:color w:val="auto"/>
        </w:rPr>
        <w:t>rientação de seguimento clínico</w:t>
      </w:r>
      <w:r w:rsidR="008F3E38" w:rsidRPr="008F3E38">
        <w:rPr>
          <w:rFonts w:ascii="Arial" w:hAnsi="Arial"/>
          <w:color w:val="auto"/>
        </w:rPr>
        <w:t>,</w:t>
      </w:r>
      <w:r w:rsidR="0020754A">
        <w:rPr>
          <w:rFonts w:ascii="Arial" w:hAnsi="Arial"/>
          <w:color w:val="auto"/>
        </w:rPr>
        <w:t xml:space="preserve"> </w:t>
      </w:r>
      <w:r w:rsidR="008F3E38" w:rsidRPr="008F3E38">
        <w:rPr>
          <w:rFonts w:ascii="Arial" w:hAnsi="Arial"/>
          <w:color w:val="auto"/>
        </w:rPr>
        <w:t xml:space="preserve">melhorando o prognóstico e, </w:t>
      </w:r>
      <w:r w:rsidR="008F3E38" w:rsidRPr="00A74D75">
        <w:rPr>
          <w:rFonts w:ascii="Arial" w:hAnsi="Arial"/>
          <w:color w:val="auto"/>
        </w:rPr>
        <w:t xml:space="preserve">principalmente, aumentando a sobrevida e qualidade de vida do paciente. A identificação de mutações específicas </w:t>
      </w:r>
      <w:r w:rsidR="008C6DA4" w:rsidRPr="00A74D75">
        <w:rPr>
          <w:rFonts w:ascii="Arial" w:hAnsi="Arial"/>
          <w:color w:val="auto"/>
        </w:rPr>
        <w:t>é</w:t>
      </w:r>
      <w:r w:rsidR="008F3E38" w:rsidRPr="00A74D75">
        <w:rPr>
          <w:rFonts w:ascii="Arial" w:hAnsi="Arial"/>
          <w:color w:val="auto"/>
        </w:rPr>
        <w:t xml:space="preserve"> importante </w:t>
      </w:r>
      <w:r w:rsidR="008C6DA4" w:rsidRPr="00A74D75">
        <w:rPr>
          <w:rFonts w:ascii="Arial" w:hAnsi="Arial"/>
          <w:color w:val="auto"/>
        </w:rPr>
        <w:t xml:space="preserve">também </w:t>
      </w:r>
      <w:r w:rsidR="008F3E38" w:rsidRPr="00A74D75">
        <w:rPr>
          <w:rFonts w:ascii="Arial" w:hAnsi="Arial"/>
          <w:color w:val="auto"/>
        </w:rPr>
        <w:t>no tratamento de pacientes com FC</w:t>
      </w:r>
      <w:r w:rsidR="008C6DA4" w:rsidRPr="00A74D75">
        <w:rPr>
          <w:rFonts w:ascii="Arial" w:hAnsi="Arial"/>
          <w:color w:val="auto"/>
        </w:rPr>
        <w:t>, uma vez que já e</w:t>
      </w:r>
      <w:r w:rsidR="007F3616" w:rsidRPr="00A74D75">
        <w:rPr>
          <w:rFonts w:ascii="Arial" w:eastAsia="Arial" w:hAnsi="Arial" w:cs="Arial"/>
          <w:color w:val="auto"/>
        </w:rPr>
        <w:t xml:space="preserve">xistem medicamentos </w:t>
      </w:r>
      <w:r w:rsidR="008C6DA4" w:rsidRPr="00A74D75">
        <w:rPr>
          <w:rFonts w:ascii="Arial" w:eastAsia="Arial" w:hAnsi="Arial" w:cs="Arial"/>
          <w:color w:val="auto"/>
        </w:rPr>
        <w:t>mutação-dirigidos</w:t>
      </w:r>
      <w:r w:rsidR="007F3616" w:rsidRPr="00A74D75">
        <w:rPr>
          <w:rFonts w:ascii="Arial" w:eastAsia="Arial" w:hAnsi="Arial" w:cs="Arial"/>
          <w:color w:val="auto"/>
        </w:rPr>
        <w:t xml:space="preserve">. </w:t>
      </w:r>
      <w:r w:rsidR="008C6DA4" w:rsidRPr="00A74D75">
        <w:rPr>
          <w:rFonts w:ascii="Arial" w:eastAsia="Arial" w:hAnsi="Arial" w:cs="Arial"/>
          <w:color w:val="auto"/>
        </w:rPr>
        <w:t>Estes</w:t>
      </w:r>
      <w:r w:rsidR="008F3E38" w:rsidRPr="00A74D75">
        <w:rPr>
          <w:rFonts w:ascii="Arial" w:eastAsia="Arial" w:hAnsi="Arial" w:cs="Arial"/>
          <w:color w:val="auto"/>
        </w:rPr>
        <w:t xml:space="preserve"> medicamentos funcionam como potenciadores</w:t>
      </w:r>
      <w:r w:rsidR="008C6DA4" w:rsidRPr="00A74D75">
        <w:rPr>
          <w:rFonts w:ascii="Arial" w:eastAsia="Arial" w:hAnsi="Arial" w:cs="Arial"/>
          <w:color w:val="auto"/>
        </w:rPr>
        <w:t xml:space="preserve"> (ivacaftor)</w:t>
      </w:r>
      <w:r w:rsidR="008F3E38" w:rsidRPr="00A74D75">
        <w:rPr>
          <w:rFonts w:ascii="Arial" w:eastAsia="Arial" w:hAnsi="Arial" w:cs="Arial"/>
          <w:color w:val="auto"/>
        </w:rPr>
        <w:t xml:space="preserve">, </w:t>
      </w:r>
      <w:r w:rsidR="008C6DA4" w:rsidRPr="00A74D75">
        <w:rPr>
          <w:rFonts w:ascii="Arial" w:eastAsia="Arial" w:hAnsi="Arial" w:cs="Arial"/>
          <w:color w:val="auto"/>
        </w:rPr>
        <w:t>promovendo a abertura do</w:t>
      </w:r>
      <w:r w:rsidR="008F3E38" w:rsidRPr="00A74D75">
        <w:rPr>
          <w:rFonts w:ascii="Arial" w:eastAsia="Arial" w:hAnsi="Arial" w:cs="Arial"/>
          <w:color w:val="auto"/>
        </w:rPr>
        <w:t xml:space="preserve"> canal CFTR que</w:t>
      </w:r>
      <w:r w:rsidR="008F3E38" w:rsidRPr="008F3E38">
        <w:rPr>
          <w:rFonts w:ascii="Arial" w:eastAsia="Arial" w:hAnsi="Arial" w:cs="Arial"/>
          <w:color w:val="auto"/>
        </w:rPr>
        <w:t xml:space="preserve"> está na superfície da célula, </w:t>
      </w:r>
      <w:r w:rsidR="008C6DA4">
        <w:rPr>
          <w:rFonts w:ascii="Arial" w:eastAsia="Arial" w:hAnsi="Arial" w:cs="Arial"/>
          <w:color w:val="auto"/>
        </w:rPr>
        <w:t>ou</w:t>
      </w:r>
      <w:r w:rsidR="008F3E38" w:rsidRPr="008F3E38">
        <w:rPr>
          <w:rFonts w:ascii="Arial" w:eastAsia="Arial" w:hAnsi="Arial" w:cs="Arial"/>
          <w:color w:val="auto"/>
        </w:rPr>
        <w:t xml:space="preserve"> como corretores</w:t>
      </w:r>
      <w:r w:rsidR="008C6DA4">
        <w:rPr>
          <w:rFonts w:ascii="Arial" w:eastAsia="Arial" w:hAnsi="Arial" w:cs="Arial"/>
          <w:color w:val="auto"/>
        </w:rPr>
        <w:t xml:space="preserve"> (ivacaftor-lumacaftor)</w:t>
      </w:r>
      <w:r w:rsidR="008F3E38" w:rsidRPr="008F3E38">
        <w:rPr>
          <w:rFonts w:ascii="Arial" w:eastAsia="Arial" w:hAnsi="Arial" w:cs="Arial"/>
          <w:color w:val="auto"/>
        </w:rPr>
        <w:t xml:space="preserve">, que ajudam o canal CFTR </w:t>
      </w:r>
      <w:r w:rsidR="008F3E38" w:rsidRPr="00A74D75">
        <w:rPr>
          <w:rFonts w:ascii="Arial" w:eastAsia="Arial" w:hAnsi="Arial" w:cs="Arial"/>
          <w:color w:val="auto"/>
        </w:rPr>
        <w:t>a c</w:t>
      </w:r>
      <w:r w:rsidR="008C6DA4" w:rsidRPr="00A74D75">
        <w:rPr>
          <w:rFonts w:ascii="Arial" w:eastAsia="Arial" w:hAnsi="Arial" w:cs="Arial"/>
          <w:color w:val="auto"/>
        </w:rPr>
        <w:t>hegar até a</w:t>
      </w:r>
      <w:r w:rsidR="002E11D9" w:rsidRPr="00A74D75">
        <w:rPr>
          <w:rFonts w:ascii="Arial" w:eastAsia="Arial" w:hAnsi="Arial" w:cs="Arial"/>
          <w:color w:val="auto"/>
        </w:rPr>
        <w:t xml:space="preserve"> superfície da células. </w:t>
      </w:r>
      <w:r w:rsidR="008F3E38" w:rsidRPr="00A74D75">
        <w:rPr>
          <w:rFonts w:ascii="Arial" w:eastAsia="Arial" w:hAnsi="Arial" w:cs="Arial"/>
          <w:color w:val="auto"/>
        </w:rPr>
        <w:t>O</w:t>
      </w:r>
      <w:r w:rsidR="008C6DA4" w:rsidRPr="00A74D75">
        <w:rPr>
          <w:rFonts w:ascii="Arial" w:eastAsia="Arial" w:hAnsi="Arial" w:cs="Arial"/>
          <w:color w:val="auto"/>
        </w:rPr>
        <w:t xml:space="preserve"> medicamento i</w:t>
      </w:r>
      <w:r w:rsidR="007F3616" w:rsidRPr="00A74D75">
        <w:rPr>
          <w:rFonts w:ascii="Arial" w:eastAsia="Arial" w:hAnsi="Arial" w:cs="Arial"/>
          <w:color w:val="auto"/>
        </w:rPr>
        <w:t>vacaftor</w:t>
      </w:r>
      <w:r w:rsidR="008C6DA4" w:rsidRPr="00A74D75">
        <w:rPr>
          <w:rFonts w:ascii="Arial" w:eastAsia="Arial" w:hAnsi="Arial" w:cs="Arial"/>
          <w:color w:val="auto"/>
        </w:rPr>
        <w:t xml:space="preserve"> pode ser</w:t>
      </w:r>
      <w:r w:rsidR="008F3E38" w:rsidRPr="00A74D75">
        <w:rPr>
          <w:rFonts w:ascii="Arial" w:eastAsia="Arial" w:hAnsi="Arial" w:cs="Arial"/>
          <w:color w:val="auto"/>
        </w:rPr>
        <w:t xml:space="preserve"> </w:t>
      </w:r>
      <w:r w:rsidR="007F3616" w:rsidRPr="00A74D75">
        <w:rPr>
          <w:rFonts w:ascii="Arial" w:eastAsia="Arial" w:hAnsi="Arial" w:cs="Arial"/>
          <w:color w:val="auto"/>
        </w:rPr>
        <w:t>prescrito a pacientes maiores de</w:t>
      </w:r>
      <w:r w:rsidR="007F3616" w:rsidRPr="008F3E38">
        <w:rPr>
          <w:rFonts w:ascii="Arial" w:eastAsia="Arial" w:hAnsi="Arial" w:cs="Arial"/>
          <w:color w:val="auto"/>
        </w:rPr>
        <w:t xml:space="preserve"> 2 anos de idade que apresentam as </w:t>
      </w:r>
      <w:r w:rsidR="008C6DA4">
        <w:rPr>
          <w:rFonts w:ascii="Arial" w:eastAsia="Arial" w:hAnsi="Arial" w:cs="Arial"/>
          <w:color w:val="auto"/>
        </w:rPr>
        <w:t xml:space="preserve">seguintes </w:t>
      </w:r>
      <w:r w:rsidR="007F3616" w:rsidRPr="008F3E38">
        <w:rPr>
          <w:rFonts w:ascii="Arial" w:eastAsia="Arial" w:hAnsi="Arial" w:cs="Arial"/>
          <w:color w:val="auto"/>
        </w:rPr>
        <w:t xml:space="preserve">mutações: G551D, G1244E, G1349D, G178R, G551S, S1251N, S1255P, S549N, ou S549R. </w:t>
      </w:r>
      <w:r w:rsidR="008C6DA4" w:rsidRPr="002F2D33">
        <w:rPr>
          <w:rFonts w:ascii="Arial" w:hAnsi="Arial" w:cs="Arial"/>
          <w:color w:val="auto"/>
        </w:rPr>
        <w:t>Para pacientes com a</w:t>
      </w:r>
      <w:r w:rsidR="00264D30" w:rsidRPr="002F2D33">
        <w:rPr>
          <w:rFonts w:ascii="Arial" w:hAnsi="Arial" w:cs="Arial"/>
          <w:color w:val="auto"/>
        </w:rPr>
        <w:t xml:space="preserve"> mutação</w:t>
      </w:r>
      <w:r w:rsidR="008C6DA4" w:rsidRPr="002F2D33">
        <w:rPr>
          <w:rFonts w:ascii="Arial" w:hAnsi="Arial" w:cs="Arial"/>
          <w:color w:val="auto"/>
        </w:rPr>
        <w:t xml:space="preserve"> homozigota para</w:t>
      </w:r>
      <w:r w:rsidR="00264D30" w:rsidRPr="002F2D33">
        <w:rPr>
          <w:rFonts w:ascii="Arial" w:hAnsi="Arial" w:cs="Arial"/>
          <w:color w:val="auto"/>
        </w:rPr>
        <w:t xml:space="preserve"> </w:t>
      </w:r>
      <w:r w:rsidR="00264D30">
        <w:rPr>
          <w:rFonts w:ascii="Arial" w:eastAsia="Arial" w:hAnsi="Arial" w:cs="Arial"/>
          <w:color w:val="auto"/>
        </w:rPr>
        <w:t xml:space="preserve">ΔF508 </w:t>
      </w:r>
      <w:r w:rsidR="008C6DA4" w:rsidRPr="002F2D33">
        <w:rPr>
          <w:rFonts w:ascii="Arial" w:hAnsi="Arial" w:cs="Arial"/>
          <w:color w:val="auto"/>
        </w:rPr>
        <w:t xml:space="preserve">a </w:t>
      </w:r>
      <w:r w:rsidR="00222E4F" w:rsidRPr="002F2D33">
        <w:rPr>
          <w:rFonts w:ascii="Arial" w:hAnsi="Arial" w:cs="Arial"/>
          <w:color w:val="auto"/>
        </w:rPr>
        <w:t>medicação indicada é a combinaçã</w:t>
      </w:r>
      <w:r w:rsidR="008C6DA4" w:rsidRPr="002F2D33">
        <w:rPr>
          <w:rFonts w:ascii="Arial" w:hAnsi="Arial" w:cs="Arial"/>
          <w:color w:val="auto"/>
        </w:rPr>
        <w:t>o</w:t>
      </w:r>
      <w:r w:rsidR="008C6DA4">
        <w:rPr>
          <w:rFonts w:ascii="Arial" w:eastAsia="Arial" w:hAnsi="Arial" w:cs="Arial"/>
          <w:color w:val="auto"/>
        </w:rPr>
        <w:t xml:space="preserve"> i</w:t>
      </w:r>
      <w:r w:rsidR="00264D30">
        <w:rPr>
          <w:rFonts w:ascii="Arial" w:eastAsia="Arial" w:hAnsi="Arial" w:cs="Arial"/>
          <w:color w:val="auto"/>
        </w:rPr>
        <w:t>vacaftor-l</w:t>
      </w:r>
      <w:r w:rsidR="00264D30" w:rsidRPr="008F3E38">
        <w:rPr>
          <w:rFonts w:ascii="Arial" w:eastAsia="Arial" w:hAnsi="Arial" w:cs="Arial"/>
          <w:color w:val="auto"/>
        </w:rPr>
        <w:t>umac</w:t>
      </w:r>
      <w:r w:rsidR="00264D30">
        <w:rPr>
          <w:rFonts w:ascii="Arial" w:eastAsia="Arial" w:hAnsi="Arial" w:cs="Arial"/>
          <w:color w:val="auto"/>
        </w:rPr>
        <w:t xml:space="preserve">aftor. </w:t>
      </w:r>
      <w:r w:rsidR="00895857">
        <w:rPr>
          <w:rFonts w:ascii="Arial" w:eastAsia="Arial" w:hAnsi="Arial" w:cs="Arial"/>
          <w:color w:val="auto"/>
        </w:rPr>
        <w:t>A identificação de</w:t>
      </w:r>
      <w:r w:rsidR="00071C76" w:rsidRPr="008F3E38">
        <w:rPr>
          <w:rFonts w:ascii="Arial" w:eastAsia="Arial" w:hAnsi="Arial" w:cs="Arial"/>
          <w:color w:val="auto"/>
        </w:rPr>
        <w:t xml:space="preserve"> mutações no </w:t>
      </w:r>
      <w:r w:rsidR="00071C76" w:rsidRPr="00304FEC">
        <w:rPr>
          <w:rFonts w:ascii="Arial" w:eastAsia="Arial" w:hAnsi="Arial" w:cs="Arial"/>
          <w:i/>
          <w:color w:val="auto"/>
        </w:rPr>
        <w:t>CFTR</w:t>
      </w:r>
      <w:r w:rsidR="00071C76" w:rsidRPr="008F3E38">
        <w:rPr>
          <w:rFonts w:ascii="Arial" w:eastAsia="Arial" w:hAnsi="Arial" w:cs="Arial"/>
          <w:color w:val="auto"/>
        </w:rPr>
        <w:t xml:space="preserve"> </w:t>
      </w:r>
      <w:r w:rsidR="00895857">
        <w:rPr>
          <w:rFonts w:ascii="Arial" w:eastAsia="Arial" w:hAnsi="Arial" w:cs="Arial"/>
          <w:color w:val="auto"/>
        </w:rPr>
        <w:t xml:space="preserve">é crescente e </w:t>
      </w:r>
      <w:r w:rsidR="007902D5">
        <w:rPr>
          <w:rFonts w:ascii="Arial" w:eastAsia="Arial" w:hAnsi="Arial" w:cs="Arial"/>
          <w:color w:val="auto"/>
        </w:rPr>
        <w:t xml:space="preserve">hoje conta com mais de </w:t>
      </w:r>
      <w:r w:rsidR="00895857">
        <w:rPr>
          <w:rFonts w:ascii="Arial" w:eastAsia="Arial" w:hAnsi="Arial" w:cs="Arial"/>
        </w:rPr>
        <w:t xml:space="preserve">1.900 mutações publicadas. </w:t>
      </w:r>
      <w:r w:rsidR="002E7390">
        <w:rPr>
          <w:rFonts w:ascii="Arial" w:eastAsia="Arial" w:hAnsi="Arial" w:cs="Arial"/>
        </w:rPr>
        <w:t xml:space="preserve">A causa mais frequente de FC é uma deleção de três nucleotideos (CTT) no exon 10 do gene </w:t>
      </w:r>
      <w:r w:rsidR="002E7390" w:rsidRPr="007F3616">
        <w:rPr>
          <w:rFonts w:ascii="Arial" w:eastAsia="Arial" w:hAnsi="Arial" w:cs="Arial"/>
          <w:i/>
        </w:rPr>
        <w:t>CFTR</w:t>
      </w:r>
      <w:r w:rsidR="002E7390">
        <w:rPr>
          <w:rFonts w:ascii="Arial" w:eastAsia="Arial" w:hAnsi="Arial" w:cs="Arial"/>
        </w:rPr>
        <w:t xml:space="preserve">, que inclui a última citosina (C) da isoleucina 507 (Ile507ATC) e duas timinas (T) da fenilalanina 508 </w:t>
      </w:r>
      <w:r w:rsidR="002E7390">
        <w:rPr>
          <w:rFonts w:ascii="Arial" w:eastAsia="Arial" w:hAnsi="Arial" w:cs="Arial"/>
          <w:color w:val="auto"/>
        </w:rPr>
        <w:t>(</w:t>
      </w:r>
      <w:r w:rsidR="002E7390" w:rsidRPr="007F3616">
        <w:rPr>
          <w:rFonts w:ascii="Arial" w:eastAsia="Arial" w:hAnsi="Arial" w:cs="Arial"/>
          <w:color w:val="auto"/>
        </w:rPr>
        <w:t>Phe508TTT</w:t>
      </w:r>
      <w:r w:rsidR="002E7390">
        <w:rPr>
          <w:rFonts w:ascii="Arial" w:eastAsia="Arial" w:hAnsi="Arial" w:cs="Arial"/>
          <w:color w:val="auto"/>
        </w:rPr>
        <w:t>)</w:t>
      </w:r>
      <w:r w:rsidR="002E7390" w:rsidRPr="007F3616">
        <w:rPr>
          <w:rFonts w:ascii="Arial" w:eastAsia="Arial" w:hAnsi="Arial" w:cs="Arial"/>
          <w:color w:val="auto"/>
        </w:rPr>
        <w:t>.</w:t>
      </w:r>
      <w:r w:rsidR="002E7390">
        <w:rPr>
          <w:rFonts w:ascii="Arial" w:eastAsia="Arial" w:hAnsi="Arial" w:cs="Arial"/>
        </w:rPr>
        <w:t xml:space="preserve"> As consequências da eliminação são a perda da fenilalanina na posição 508 </w:t>
      </w:r>
      <w:r w:rsidR="002E7390" w:rsidRPr="00397598">
        <w:rPr>
          <w:rFonts w:ascii="Arial" w:eastAsia="Arial" w:hAnsi="Arial" w:cs="Arial"/>
        </w:rPr>
        <w:t>da proteína CFTR (</w:t>
      </w:r>
      <w:r w:rsidR="002E7390" w:rsidRPr="00397598">
        <w:rPr>
          <w:rFonts w:ascii="Arial" w:eastAsia="Arial" w:hAnsi="Arial" w:cs="Arial"/>
          <w:color w:val="auto"/>
        </w:rPr>
        <w:t>Δ</w:t>
      </w:r>
      <w:r w:rsidR="002E7390" w:rsidRPr="00397598">
        <w:rPr>
          <w:rFonts w:ascii="Arial" w:eastAsia="Arial" w:hAnsi="Arial" w:cs="Arial"/>
        </w:rPr>
        <w:t>F508) e mudança de códon da isoleucina 507 de ATC para ATT (Ile507ATT</w:t>
      </w:r>
      <w:r w:rsidR="002E7390">
        <w:rPr>
          <w:rFonts w:ascii="Arial" w:eastAsia="Arial" w:hAnsi="Arial" w:cs="Arial"/>
        </w:rPr>
        <w:t>). </w:t>
      </w:r>
      <w:bookmarkStart w:id="0" w:name="_6s09n99doumb" w:colFirst="0" w:colLast="0"/>
      <w:bookmarkStart w:id="1" w:name="_gjdgxs" w:colFirst="0" w:colLast="0"/>
      <w:bookmarkEnd w:id="0"/>
      <w:bookmarkEnd w:id="1"/>
      <w:r w:rsidR="002E7390" w:rsidRPr="00DD2AE3">
        <w:rPr>
          <w:rFonts w:ascii="Arial" w:eastAsia="Arial" w:hAnsi="Arial" w:cs="Arial"/>
        </w:rPr>
        <w:t xml:space="preserve">As mutações são divididas em classes funcionais, cada uma atuando em um estágio diferente da síntese de proteínas. </w:t>
      </w:r>
      <w:r w:rsidR="00397598" w:rsidRPr="00DD2AE3">
        <w:rPr>
          <w:rFonts w:ascii="Arial" w:eastAsia="Arial" w:hAnsi="Arial" w:cs="Arial"/>
        </w:rPr>
        <w:t xml:space="preserve">As mutações </w:t>
      </w:r>
      <w:r w:rsidR="00397598" w:rsidRPr="00DD2AE3">
        <w:rPr>
          <w:rFonts w:ascii="Arial" w:eastAsia="Arial" w:hAnsi="Arial" w:cs="Arial"/>
          <w:color w:val="auto"/>
        </w:rPr>
        <w:t>Δ</w:t>
      </w:r>
      <w:r w:rsidR="00397598" w:rsidRPr="00DD2AE3">
        <w:rPr>
          <w:rFonts w:ascii="Arial" w:eastAsia="Arial" w:hAnsi="Arial" w:cs="Arial"/>
        </w:rPr>
        <w:t xml:space="preserve">F508 </w:t>
      </w:r>
      <w:r w:rsidR="00895857" w:rsidRPr="00DD2AE3">
        <w:rPr>
          <w:rFonts w:ascii="Arial" w:eastAsia="Arial" w:hAnsi="Arial" w:cs="Arial"/>
        </w:rPr>
        <w:t xml:space="preserve">e </w:t>
      </w:r>
      <w:r w:rsidR="002F2D33" w:rsidRPr="002F2D33">
        <w:rPr>
          <w:rFonts w:ascii="Arial" w:hAnsi="Arial" w:cs="Arial"/>
          <w:color w:val="auto"/>
          <w:highlight w:val="yellow"/>
        </w:rPr>
        <w:t>Δ</w:t>
      </w:r>
      <w:r w:rsidR="00397598" w:rsidRPr="00DD2AE3">
        <w:rPr>
          <w:rFonts w:ascii="Arial" w:eastAsia="Arial" w:hAnsi="Arial" w:cs="Arial"/>
        </w:rPr>
        <w:t>I507</w:t>
      </w:r>
      <w:r w:rsidR="009A0AA8">
        <w:rPr>
          <w:rFonts w:ascii="Arial" w:eastAsia="Arial" w:hAnsi="Arial" w:cs="Arial"/>
        </w:rPr>
        <w:t xml:space="preserve"> pertencem a </w:t>
      </w:r>
      <w:r w:rsidR="00895857" w:rsidRPr="00DD2AE3">
        <w:rPr>
          <w:rFonts w:ascii="Arial" w:eastAsia="Arial" w:hAnsi="Arial" w:cs="Arial"/>
        </w:rPr>
        <w:t>classe</w:t>
      </w:r>
      <w:r w:rsidR="00895857" w:rsidRPr="00397598">
        <w:rPr>
          <w:rFonts w:ascii="Arial" w:eastAsia="Arial" w:hAnsi="Arial" w:cs="Arial"/>
        </w:rPr>
        <w:t xml:space="preserve"> funcional II, onde a proteína mutante não passa pelo processo de maturação e é degradada antes de atingir a superfície da célula epitelial apical.</w:t>
      </w:r>
      <w:r w:rsidR="00895857" w:rsidRPr="00397598">
        <w:rPr>
          <w:rFonts w:ascii="Arial" w:eastAsia="Arial" w:hAnsi="Arial" w:cs="Arial"/>
          <w:color w:val="auto"/>
        </w:rPr>
        <w:t xml:space="preserve"> </w:t>
      </w:r>
      <w:r w:rsidR="00895857" w:rsidRPr="00397598">
        <w:rPr>
          <w:rFonts w:ascii="Arial" w:hAnsi="Arial" w:cs="Arial"/>
          <w:color w:val="auto"/>
        </w:rPr>
        <w:t>Segundo dados de 2014 do Registro Brasileiro de Fibrose Cística, a mutação ΔF508, em homozigose</w:t>
      </w:r>
      <w:r w:rsidR="00895857">
        <w:rPr>
          <w:rFonts w:ascii="Arial" w:hAnsi="Arial" w:cs="Arial"/>
          <w:color w:val="auto"/>
        </w:rPr>
        <w:t xml:space="preserve"> ou heterozigose,</w:t>
      </w:r>
      <w:r w:rsidR="00895857" w:rsidRPr="00CE22B7">
        <w:rPr>
          <w:rFonts w:ascii="Arial" w:hAnsi="Arial" w:cs="Arial"/>
          <w:color w:val="auto"/>
        </w:rPr>
        <w:t xml:space="preserve"> está presente em </w:t>
      </w:r>
      <w:r w:rsidR="00895857">
        <w:rPr>
          <w:rFonts w:ascii="Arial" w:hAnsi="Arial" w:cs="Arial"/>
          <w:color w:val="auto"/>
        </w:rPr>
        <w:t>1.523 (47,48%)</w:t>
      </w:r>
      <w:r w:rsidR="00895857" w:rsidRPr="00CE22B7">
        <w:rPr>
          <w:rFonts w:ascii="Arial" w:hAnsi="Arial" w:cs="Arial"/>
          <w:color w:val="auto"/>
        </w:rPr>
        <w:t xml:space="preserve"> pacientes brasileiros e apenas 4 </w:t>
      </w:r>
      <w:r w:rsidR="00895857">
        <w:rPr>
          <w:rFonts w:ascii="Arial" w:hAnsi="Arial" w:cs="Arial"/>
          <w:color w:val="auto"/>
        </w:rPr>
        <w:t>possuem</w:t>
      </w:r>
      <w:r w:rsidR="00895857" w:rsidRPr="00CE22B7">
        <w:rPr>
          <w:rFonts w:ascii="Arial" w:hAnsi="Arial" w:cs="Arial"/>
          <w:color w:val="auto"/>
        </w:rPr>
        <w:t xml:space="preserve"> a mut</w:t>
      </w:r>
      <w:r w:rsidR="007902D5">
        <w:rPr>
          <w:rFonts w:ascii="Arial" w:hAnsi="Arial" w:cs="Arial"/>
          <w:color w:val="auto"/>
        </w:rPr>
        <w:t xml:space="preserve">ação </w:t>
      </w:r>
      <w:r w:rsidR="002F2D33" w:rsidRPr="002F2D33">
        <w:rPr>
          <w:rFonts w:ascii="Arial" w:hAnsi="Arial" w:cs="Arial"/>
          <w:color w:val="auto"/>
          <w:highlight w:val="yellow"/>
        </w:rPr>
        <w:t>Δ</w:t>
      </w:r>
      <w:r w:rsidR="007902D5">
        <w:rPr>
          <w:rFonts w:ascii="Arial" w:hAnsi="Arial" w:cs="Arial"/>
          <w:color w:val="auto"/>
        </w:rPr>
        <w:t>I507 (0,12%). Como não há uniformidade nas técnicas</w:t>
      </w:r>
      <w:r w:rsidR="00895857" w:rsidRPr="00CE22B7">
        <w:rPr>
          <w:rFonts w:ascii="Arial" w:hAnsi="Arial" w:cs="Arial"/>
          <w:color w:val="auto"/>
        </w:rPr>
        <w:t xml:space="preserve"> utilizadas no dia</w:t>
      </w:r>
      <w:r w:rsidR="001221AB">
        <w:rPr>
          <w:rFonts w:ascii="Arial" w:hAnsi="Arial" w:cs="Arial"/>
          <w:color w:val="auto"/>
        </w:rPr>
        <w:t>gnósti</w:t>
      </w:r>
      <w:r w:rsidR="00397598">
        <w:rPr>
          <w:rFonts w:ascii="Arial" w:hAnsi="Arial" w:cs="Arial"/>
          <w:color w:val="auto"/>
        </w:rPr>
        <w:t>co desses pacientes, interrogam</w:t>
      </w:r>
      <w:r w:rsidR="001221AB">
        <w:rPr>
          <w:rFonts w:ascii="Arial" w:hAnsi="Arial" w:cs="Arial"/>
          <w:color w:val="auto"/>
        </w:rPr>
        <w:t>os se o</w:t>
      </w:r>
      <w:r w:rsidR="007902D5">
        <w:rPr>
          <w:rFonts w:ascii="Arial" w:hAnsi="Arial" w:cs="Arial"/>
          <w:color w:val="auto"/>
        </w:rPr>
        <w:t xml:space="preserve"> percentual de pacientes com a mutação </w:t>
      </w:r>
      <w:r w:rsidR="002F2D33" w:rsidRPr="002F2D33">
        <w:rPr>
          <w:rFonts w:ascii="Arial" w:hAnsi="Arial" w:cs="Arial"/>
          <w:color w:val="auto"/>
          <w:highlight w:val="yellow"/>
        </w:rPr>
        <w:t>Δ</w:t>
      </w:r>
      <w:r w:rsidR="007902D5">
        <w:rPr>
          <w:rFonts w:ascii="Arial" w:hAnsi="Arial" w:cs="Arial"/>
          <w:color w:val="auto"/>
        </w:rPr>
        <w:t xml:space="preserve">I507 pode estar subestimado, uma </w:t>
      </w:r>
      <w:r w:rsidR="007902D5">
        <w:rPr>
          <w:rFonts w:ascii="Arial" w:hAnsi="Arial" w:cs="Arial"/>
          <w:color w:val="auto"/>
        </w:rPr>
        <w:lastRenderedPageBreak/>
        <w:t xml:space="preserve">vez que </w:t>
      </w:r>
      <w:r w:rsidR="007902D5" w:rsidRPr="00397598">
        <w:rPr>
          <w:rFonts w:ascii="Arial" w:hAnsi="Arial" w:cs="Arial"/>
          <w:color w:val="auto"/>
        </w:rPr>
        <w:t xml:space="preserve">técnicas de </w:t>
      </w:r>
      <w:r w:rsidR="00397598">
        <w:rPr>
          <w:rFonts w:ascii="Arial" w:hAnsi="Arial" w:cs="Arial"/>
          <w:color w:val="auto"/>
        </w:rPr>
        <w:t>separação em gel de poliacrilamida não distinguem</w:t>
      </w:r>
      <w:r w:rsidR="007902D5" w:rsidRPr="00397598">
        <w:rPr>
          <w:rFonts w:ascii="Arial" w:hAnsi="Arial" w:cs="Arial"/>
          <w:color w:val="auto"/>
        </w:rPr>
        <w:t xml:space="preserve"> </w:t>
      </w:r>
      <w:r w:rsidR="009A0AA8">
        <w:rPr>
          <w:rFonts w:ascii="Arial" w:eastAsia="Arial" w:hAnsi="Arial" w:cs="Arial"/>
          <w:color w:val="auto"/>
        </w:rPr>
        <w:t>Δ</w:t>
      </w:r>
      <w:r w:rsidR="009A0AA8">
        <w:rPr>
          <w:rFonts w:ascii="Arial" w:eastAsia="Arial" w:hAnsi="Arial" w:cs="Arial"/>
        </w:rPr>
        <w:t xml:space="preserve">F508 </w:t>
      </w:r>
      <w:r w:rsidR="007902D5" w:rsidRPr="00397598">
        <w:rPr>
          <w:rFonts w:ascii="Arial" w:hAnsi="Arial" w:cs="Arial"/>
          <w:color w:val="auto"/>
        </w:rPr>
        <w:t xml:space="preserve">de </w:t>
      </w:r>
      <w:r w:rsidR="002F2D33" w:rsidRPr="00397598">
        <w:rPr>
          <w:rFonts w:ascii="Arial" w:hAnsi="Arial" w:cs="Arial"/>
          <w:color w:val="auto"/>
        </w:rPr>
        <w:t>Δ</w:t>
      </w:r>
      <w:r w:rsidR="007902D5" w:rsidRPr="00397598">
        <w:rPr>
          <w:rFonts w:ascii="Arial" w:hAnsi="Arial" w:cs="Arial"/>
          <w:color w:val="auto"/>
        </w:rPr>
        <w:t>I507</w:t>
      </w:r>
      <w:r w:rsidR="00895857" w:rsidRPr="00397598">
        <w:rPr>
          <w:rFonts w:ascii="Arial" w:hAnsi="Arial" w:cs="Arial"/>
          <w:color w:val="auto"/>
        </w:rPr>
        <w:t xml:space="preserve">. Neste estudo, propomos o uso da técnica </w:t>
      </w:r>
      <w:r w:rsidRPr="00397598">
        <w:rPr>
          <w:rFonts w:ascii="Arial" w:eastAsia="Arial" w:hAnsi="Arial" w:cs="Arial"/>
        </w:rPr>
        <w:t>de amplificação refratária de mutação</w:t>
      </w:r>
      <w:bookmarkStart w:id="2" w:name="_GoBack"/>
      <w:bookmarkEnd w:id="2"/>
      <w:r w:rsidRPr="00397598">
        <w:rPr>
          <w:rFonts w:ascii="Arial" w:eastAsia="Arial" w:hAnsi="Arial" w:cs="Arial"/>
        </w:rPr>
        <w:t xml:space="preserve"> (do inglês </w:t>
      </w:r>
      <w:r w:rsidRPr="00397598">
        <w:rPr>
          <w:rFonts w:ascii="Arial" w:eastAsia="Arial" w:hAnsi="Arial" w:cs="Arial"/>
          <w:i/>
        </w:rPr>
        <w:t>Amplificat</w:t>
      </w:r>
      <w:r w:rsidR="002F2D33">
        <w:rPr>
          <w:rFonts w:ascii="Arial" w:eastAsia="Arial" w:hAnsi="Arial" w:cs="Arial"/>
          <w:i/>
        </w:rPr>
        <w:t>ion-</w:t>
      </w:r>
      <w:r w:rsidR="002F2D33" w:rsidRPr="002F2D33">
        <w:rPr>
          <w:rFonts w:ascii="Arial" w:eastAsia="Arial" w:hAnsi="Arial" w:cs="Arial"/>
          <w:i/>
          <w:highlight w:val="yellow"/>
        </w:rPr>
        <w:t>r</w:t>
      </w:r>
      <w:r w:rsidRPr="002F2D33">
        <w:rPr>
          <w:rFonts w:ascii="Arial" w:eastAsia="Arial" w:hAnsi="Arial" w:cs="Arial"/>
          <w:i/>
          <w:highlight w:val="yellow"/>
        </w:rPr>
        <w:t>efra</w:t>
      </w:r>
      <w:r w:rsidR="002F2D33" w:rsidRPr="002F2D33">
        <w:rPr>
          <w:rFonts w:ascii="Arial" w:eastAsia="Arial" w:hAnsi="Arial" w:cs="Arial"/>
          <w:i/>
          <w:highlight w:val="yellow"/>
        </w:rPr>
        <w:t>c</w:t>
      </w:r>
      <w:r w:rsidRPr="002F2D33">
        <w:rPr>
          <w:rFonts w:ascii="Arial" w:eastAsia="Arial" w:hAnsi="Arial" w:cs="Arial"/>
          <w:i/>
          <w:highlight w:val="yellow"/>
        </w:rPr>
        <w:t>tory</w:t>
      </w:r>
      <w:r w:rsidRPr="00397598">
        <w:rPr>
          <w:rFonts w:ascii="Arial" w:eastAsia="Arial" w:hAnsi="Arial" w:cs="Arial"/>
          <w:i/>
        </w:rPr>
        <w:t xml:space="preserve"> mutation system</w:t>
      </w:r>
      <w:r w:rsidRPr="00397598">
        <w:rPr>
          <w:rFonts w:ascii="Arial" w:eastAsia="Arial" w:hAnsi="Arial" w:cs="Arial"/>
        </w:rPr>
        <w:t xml:space="preserve"> ARMS-PCR) </w:t>
      </w:r>
      <w:r w:rsidR="007902D5" w:rsidRPr="00397598">
        <w:rPr>
          <w:rFonts w:ascii="Arial" w:eastAsia="Arial" w:hAnsi="Arial" w:cs="Arial"/>
        </w:rPr>
        <w:t>para identificar: 1) pacientes com sem</w:t>
      </w:r>
      <w:r w:rsidR="007902D5">
        <w:rPr>
          <w:rFonts w:ascii="Arial" w:eastAsia="Arial" w:hAnsi="Arial" w:cs="Arial"/>
        </w:rPr>
        <w:t xml:space="preserve"> mutação nas posições </w:t>
      </w:r>
      <w:r w:rsidR="00397598">
        <w:rPr>
          <w:rFonts w:ascii="Arial" w:eastAsia="Arial" w:hAnsi="Arial" w:cs="Arial"/>
        </w:rPr>
        <w:t>507</w:t>
      </w:r>
      <w:r w:rsidR="007902D5">
        <w:rPr>
          <w:rFonts w:ascii="Arial" w:eastAsia="Arial" w:hAnsi="Arial" w:cs="Arial"/>
        </w:rPr>
        <w:t xml:space="preserve"> e </w:t>
      </w:r>
      <w:r w:rsidR="00397598">
        <w:rPr>
          <w:rFonts w:ascii="Arial" w:eastAsia="Arial" w:hAnsi="Arial" w:cs="Arial"/>
        </w:rPr>
        <w:t>508</w:t>
      </w:r>
      <w:r w:rsidR="007902D5">
        <w:rPr>
          <w:rFonts w:ascii="Arial" w:eastAsia="Arial" w:hAnsi="Arial" w:cs="Arial"/>
        </w:rPr>
        <w:t xml:space="preserve">; 2) </w:t>
      </w:r>
      <w:r w:rsidR="00397598">
        <w:rPr>
          <w:rFonts w:ascii="Arial" w:eastAsia="Arial" w:hAnsi="Arial" w:cs="Arial"/>
          <w:color w:val="auto"/>
        </w:rPr>
        <w:t>Δ</w:t>
      </w:r>
      <w:r w:rsidR="00397598">
        <w:rPr>
          <w:rFonts w:ascii="Arial" w:eastAsia="Arial" w:hAnsi="Arial" w:cs="Arial"/>
        </w:rPr>
        <w:t>F508</w:t>
      </w:r>
      <w:r w:rsidR="007902D5">
        <w:rPr>
          <w:rFonts w:ascii="Arial" w:eastAsia="Arial" w:hAnsi="Arial" w:cs="Arial"/>
        </w:rPr>
        <w:t xml:space="preserve">; 3) </w:t>
      </w:r>
      <w:r w:rsidR="00FF0F62" w:rsidRPr="002F2D33">
        <w:rPr>
          <w:rFonts w:ascii="Arial" w:hAnsi="Arial" w:cs="Arial"/>
          <w:color w:val="auto"/>
          <w:highlight w:val="yellow"/>
        </w:rPr>
        <w:t>Δ</w:t>
      </w:r>
      <w:r w:rsidR="007902D5">
        <w:rPr>
          <w:rFonts w:ascii="Arial" w:eastAsia="Arial" w:hAnsi="Arial" w:cs="Arial"/>
        </w:rPr>
        <w:t xml:space="preserve">I507. </w:t>
      </w:r>
      <w:r w:rsidR="002E7390" w:rsidRPr="00590396">
        <w:rPr>
          <w:rFonts w:ascii="Arial" w:eastAsia="Arial" w:hAnsi="Arial" w:cs="Arial"/>
          <w:highlight w:val="yellow"/>
        </w:rPr>
        <w:t>Na técnica ARMS-PCR</w:t>
      </w:r>
      <w:r w:rsidR="00071C76" w:rsidRPr="00590396">
        <w:rPr>
          <w:rFonts w:ascii="Arial" w:eastAsia="Arial" w:hAnsi="Arial" w:cs="Arial"/>
          <w:highlight w:val="yellow"/>
        </w:rPr>
        <w:t xml:space="preserve"> </w:t>
      </w:r>
      <w:r w:rsidRPr="00590396">
        <w:rPr>
          <w:rFonts w:ascii="Arial" w:eastAsia="Arial" w:hAnsi="Arial" w:cs="Arial"/>
          <w:highlight w:val="yellow"/>
        </w:rPr>
        <w:t xml:space="preserve">são desenhados primers </w:t>
      </w:r>
      <w:r w:rsidR="00590396" w:rsidRPr="00590396">
        <w:rPr>
          <w:rFonts w:ascii="Arial" w:eastAsia="Arial" w:hAnsi="Arial" w:cs="Arial"/>
          <w:highlight w:val="yellow"/>
        </w:rPr>
        <w:t xml:space="preserve">em que </w:t>
      </w:r>
      <w:r w:rsidRPr="00590396">
        <w:rPr>
          <w:rFonts w:ascii="Arial" w:eastAsia="Arial" w:hAnsi="Arial" w:cs="Arial"/>
          <w:highlight w:val="yellow"/>
        </w:rPr>
        <w:t xml:space="preserve">a última base </w:t>
      </w:r>
      <w:r w:rsidR="00590396" w:rsidRPr="00590396">
        <w:rPr>
          <w:rFonts w:ascii="Arial" w:eastAsia="Arial" w:hAnsi="Arial" w:cs="Arial"/>
          <w:highlight w:val="yellow"/>
        </w:rPr>
        <w:t>na extremidade 3’ corresponde</w:t>
      </w:r>
      <w:r w:rsidRPr="00590396">
        <w:rPr>
          <w:rFonts w:ascii="Arial" w:eastAsia="Arial" w:hAnsi="Arial" w:cs="Arial"/>
          <w:highlight w:val="yellow"/>
        </w:rPr>
        <w:t xml:space="preserve"> à </w:t>
      </w:r>
      <w:r w:rsidR="00590396" w:rsidRPr="00590396">
        <w:rPr>
          <w:rFonts w:ascii="Arial" w:eastAsia="Arial" w:hAnsi="Arial" w:cs="Arial"/>
          <w:highlight w:val="yellow"/>
        </w:rPr>
        <w:t xml:space="preserve">diferença pontual entre </w:t>
      </w:r>
      <w:r w:rsidRPr="00590396">
        <w:rPr>
          <w:rFonts w:ascii="Arial" w:eastAsia="Arial" w:hAnsi="Arial" w:cs="Arial"/>
          <w:highlight w:val="yellow"/>
        </w:rPr>
        <w:t xml:space="preserve">sequência normal ou mutada. A técnica </w:t>
      </w:r>
      <w:r w:rsidR="00FF0F62" w:rsidRPr="00590396">
        <w:rPr>
          <w:rFonts w:ascii="Arial" w:eastAsia="Arial" w:hAnsi="Arial" w:cs="Arial"/>
          <w:highlight w:val="yellow"/>
        </w:rPr>
        <w:t xml:space="preserve">baseia-se, portanto, </w:t>
      </w:r>
      <w:r w:rsidRPr="00590396">
        <w:rPr>
          <w:rFonts w:ascii="Arial" w:eastAsia="Arial" w:hAnsi="Arial" w:cs="Arial"/>
          <w:highlight w:val="yellow"/>
        </w:rPr>
        <w:t xml:space="preserve">na </w:t>
      </w:r>
      <w:r w:rsidR="00FF0F62" w:rsidRPr="00590396">
        <w:rPr>
          <w:rFonts w:ascii="Arial" w:eastAsia="Arial" w:hAnsi="Arial" w:cs="Arial"/>
          <w:highlight w:val="yellow"/>
        </w:rPr>
        <w:t>espec</w:t>
      </w:r>
      <w:r w:rsidR="00590396" w:rsidRPr="00590396">
        <w:rPr>
          <w:rFonts w:ascii="Arial" w:eastAsia="Arial" w:hAnsi="Arial" w:cs="Arial"/>
          <w:highlight w:val="yellow"/>
        </w:rPr>
        <w:t>ificidade de amplificação</w:t>
      </w:r>
      <w:r w:rsidR="00FF0F62" w:rsidRPr="00590396">
        <w:rPr>
          <w:rFonts w:ascii="Arial" w:eastAsia="Arial" w:hAnsi="Arial" w:cs="Arial"/>
          <w:highlight w:val="yellow"/>
        </w:rPr>
        <w:t xml:space="preserve"> </w:t>
      </w:r>
      <w:r w:rsidR="00590396" w:rsidRPr="00590396">
        <w:rPr>
          <w:rFonts w:ascii="Arial" w:eastAsia="Arial" w:hAnsi="Arial" w:cs="Arial"/>
          <w:highlight w:val="yellow"/>
        </w:rPr>
        <w:t xml:space="preserve">e de hibridização </w:t>
      </w:r>
      <w:r w:rsidR="00FF0F62" w:rsidRPr="00590396">
        <w:rPr>
          <w:rFonts w:ascii="Arial" w:eastAsia="Arial" w:hAnsi="Arial" w:cs="Arial"/>
          <w:highlight w:val="yellow"/>
        </w:rPr>
        <w:t>do</w:t>
      </w:r>
      <w:r w:rsidR="00590396" w:rsidRPr="00590396">
        <w:rPr>
          <w:rFonts w:ascii="Arial" w:eastAsia="Arial" w:hAnsi="Arial" w:cs="Arial"/>
          <w:highlight w:val="yellow"/>
        </w:rPr>
        <w:t>s primers específicos</w:t>
      </w:r>
      <w:r w:rsidR="00FF0F62" w:rsidRPr="00590396">
        <w:rPr>
          <w:rFonts w:ascii="Arial" w:eastAsia="Arial" w:hAnsi="Arial" w:cs="Arial"/>
          <w:highlight w:val="yellow"/>
        </w:rPr>
        <w:t xml:space="preserve"> </w:t>
      </w:r>
      <w:r w:rsidR="00590396" w:rsidRPr="00590396">
        <w:rPr>
          <w:rFonts w:ascii="Arial" w:eastAsia="Arial" w:hAnsi="Arial" w:cs="Arial"/>
          <w:highlight w:val="yellow"/>
        </w:rPr>
        <w:t xml:space="preserve">aos </w:t>
      </w:r>
      <w:r w:rsidR="00FF0F62" w:rsidRPr="00590396">
        <w:rPr>
          <w:rFonts w:ascii="Arial" w:eastAsia="Arial" w:hAnsi="Arial" w:cs="Arial"/>
          <w:highlight w:val="yellow"/>
        </w:rPr>
        <w:t>alelo</w:t>
      </w:r>
      <w:r w:rsidR="00590396" w:rsidRPr="00590396">
        <w:rPr>
          <w:rFonts w:ascii="Arial" w:eastAsia="Arial" w:hAnsi="Arial" w:cs="Arial"/>
          <w:highlight w:val="yellow"/>
        </w:rPr>
        <w:t>s de interesse</w:t>
      </w:r>
      <w:r w:rsidRPr="00590396">
        <w:rPr>
          <w:rFonts w:ascii="Arial" w:eastAsia="Arial" w:hAnsi="Arial" w:cs="Arial"/>
          <w:highlight w:val="yellow"/>
        </w:rPr>
        <w:t xml:space="preserve">. </w:t>
      </w:r>
      <w:r w:rsidR="00590396" w:rsidRPr="00590396">
        <w:rPr>
          <w:rFonts w:ascii="Arial" w:eastAsia="Arial" w:hAnsi="Arial" w:cs="Arial"/>
          <w:highlight w:val="yellow"/>
        </w:rPr>
        <w:t>A presença ou ausência d</w:t>
      </w:r>
      <w:r w:rsidR="00590396" w:rsidRPr="00590396">
        <w:rPr>
          <w:rFonts w:ascii="Arial" w:eastAsia="Arial" w:hAnsi="Arial" w:cs="Arial"/>
          <w:highlight w:val="yellow"/>
        </w:rPr>
        <w:t>o</w:t>
      </w:r>
      <w:r w:rsidR="00590396" w:rsidRPr="00590396">
        <w:rPr>
          <w:rFonts w:ascii="Arial" w:eastAsia="Arial" w:hAnsi="Arial" w:cs="Arial"/>
          <w:highlight w:val="yellow"/>
        </w:rPr>
        <w:t xml:space="preserve"> produto de PCR </w:t>
      </w:r>
      <w:r w:rsidR="00590396" w:rsidRPr="00590396">
        <w:rPr>
          <w:rFonts w:ascii="Arial" w:eastAsia="Arial" w:hAnsi="Arial" w:cs="Arial"/>
          <w:highlight w:val="yellow"/>
        </w:rPr>
        <w:t xml:space="preserve">específico </w:t>
      </w:r>
      <w:r w:rsidR="00590396" w:rsidRPr="00590396">
        <w:rPr>
          <w:rFonts w:ascii="Arial" w:eastAsia="Arial" w:hAnsi="Arial" w:cs="Arial"/>
          <w:highlight w:val="yellow"/>
        </w:rPr>
        <w:t>é de diagnóstico para a presença ou ausência do alelo alvo.</w:t>
      </w:r>
      <w:r w:rsidR="00590396" w:rsidRPr="00590396">
        <w:rPr>
          <w:rFonts w:ascii="Arial" w:eastAsia="Arial" w:hAnsi="Arial" w:cs="Arial"/>
          <w:highlight w:val="yellow"/>
        </w:rPr>
        <w:t xml:space="preserve"> A amplificação de uma região de controle com primers não alelo-específicos permite a distinção entre ausência da mutação e falha na amplificação, minimizando o risco de falsos-negativos.</w:t>
      </w:r>
      <w:r w:rsidR="0059039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 protocolo base desta técnica descreve o desenvolvimento e aplicação de um teste para diagnostico de uma única mutação, porém, estende-se a protocolos alternativos para a análise de duas ou mais </w:t>
      </w:r>
      <w:r w:rsidRPr="00A74D75">
        <w:rPr>
          <w:rFonts w:ascii="Arial" w:eastAsia="Arial" w:hAnsi="Arial" w:cs="Arial"/>
        </w:rPr>
        <w:t>mutações</w:t>
      </w:r>
      <w:r w:rsidR="00895857" w:rsidRPr="00A74D75">
        <w:rPr>
          <w:rFonts w:ascii="Arial" w:eastAsia="Arial" w:hAnsi="Arial" w:cs="Arial"/>
        </w:rPr>
        <w:t>, como foi o caso do nosso estudo</w:t>
      </w:r>
      <w:r w:rsidRPr="00A74D75">
        <w:rPr>
          <w:rFonts w:ascii="Arial" w:eastAsia="Arial" w:hAnsi="Arial" w:cs="Arial"/>
        </w:rPr>
        <w:t xml:space="preserve">. </w:t>
      </w:r>
      <w:r w:rsidR="001221AB" w:rsidRPr="00A74D75">
        <w:rPr>
          <w:rFonts w:ascii="Arial" w:eastAsia="Arial" w:hAnsi="Arial" w:cs="Arial"/>
        </w:rPr>
        <w:t>A padronização da técnica ARMS-PCR mostrou-se eficaz na detecção da presença</w:t>
      </w:r>
      <w:r w:rsidR="001221AB">
        <w:rPr>
          <w:rFonts w:ascii="Arial" w:eastAsia="Arial" w:hAnsi="Arial" w:cs="Arial"/>
        </w:rPr>
        <w:t xml:space="preserve"> ou ausência de mutações no segmento estudado, além de diferenciar entre </w:t>
      </w:r>
      <w:r w:rsidR="002F2D33" w:rsidRPr="002F2D33">
        <w:rPr>
          <w:rFonts w:ascii="Arial" w:hAnsi="Arial" w:cs="Arial"/>
          <w:color w:val="auto"/>
          <w:highlight w:val="yellow"/>
        </w:rPr>
        <w:t>Δ</w:t>
      </w:r>
      <w:r w:rsidR="00397598">
        <w:rPr>
          <w:rFonts w:ascii="Arial" w:eastAsia="Arial" w:hAnsi="Arial" w:cs="Arial"/>
        </w:rPr>
        <w:t>I507</w:t>
      </w:r>
      <w:r w:rsidR="001221AB">
        <w:rPr>
          <w:rFonts w:ascii="Arial" w:eastAsia="Arial" w:hAnsi="Arial" w:cs="Arial"/>
        </w:rPr>
        <w:t xml:space="preserve"> e </w:t>
      </w:r>
      <w:r w:rsidR="00A74D75">
        <w:rPr>
          <w:rFonts w:ascii="Arial" w:eastAsia="Arial" w:hAnsi="Arial" w:cs="Arial"/>
          <w:color w:val="auto"/>
        </w:rPr>
        <w:t>Δ</w:t>
      </w:r>
      <w:r w:rsidR="00A74D75">
        <w:rPr>
          <w:rFonts w:ascii="Arial" w:eastAsia="Arial" w:hAnsi="Arial" w:cs="Arial"/>
        </w:rPr>
        <w:t>F508</w:t>
      </w:r>
      <w:r w:rsidR="001221AB">
        <w:rPr>
          <w:rFonts w:ascii="Arial" w:eastAsia="Arial" w:hAnsi="Arial" w:cs="Arial"/>
        </w:rPr>
        <w:t xml:space="preserve"> com rapidez e baixo custo, e será aplicada nos protocolos de caracterização genético-molecular dos pacientes com FC em projeto de pesquisa em andamento.</w:t>
      </w:r>
    </w:p>
    <w:p w14:paraId="06B8F7C2" w14:textId="77777777" w:rsidR="00397598" w:rsidRPr="00A07516" w:rsidRDefault="00397598" w:rsidP="002E7390">
      <w:pPr>
        <w:pStyle w:val="Normal1"/>
        <w:spacing w:line="480" w:lineRule="auto"/>
        <w:jc w:val="both"/>
      </w:pPr>
    </w:p>
    <w:p w14:paraId="4982708A" w14:textId="0AB2ED8E" w:rsidR="00636C30" w:rsidRPr="00A07516" w:rsidRDefault="00636C30">
      <w:pPr>
        <w:pStyle w:val="Normal1"/>
        <w:jc w:val="both"/>
      </w:pPr>
    </w:p>
    <w:p w14:paraId="444E35F6" w14:textId="77777777" w:rsidR="004207F9" w:rsidRDefault="004207F9">
      <w:pPr>
        <w:pStyle w:val="Normal1"/>
        <w:jc w:val="both"/>
      </w:pPr>
    </w:p>
    <w:p w14:paraId="0778F4C3" w14:textId="77777777" w:rsidR="004207F9" w:rsidRPr="0097388E" w:rsidRDefault="00362D53">
      <w:pPr>
        <w:pStyle w:val="Normal1"/>
        <w:spacing w:before="100" w:after="100"/>
        <w:rPr>
          <w:rFonts w:ascii="Arial" w:eastAsia="Helvetica Neue" w:hAnsi="Arial" w:cs="Helvetica Neue"/>
        </w:rPr>
      </w:pPr>
      <w:r w:rsidRPr="0097388E">
        <w:rPr>
          <w:rFonts w:ascii="Arial" w:eastAsia="Helvetica Neue" w:hAnsi="Arial" w:cs="Helvetica Neue"/>
          <w:b/>
        </w:rPr>
        <w:t>Palavras-chave:</w:t>
      </w:r>
      <w:r w:rsidRPr="0097388E">
        <w:rPr>
          <w:rFonts w:ascii="Arial" w:eastAsia="Helvetica Neue" w:hAnsi="Arial" w:cs="Helvetica Neue"/>
        </w:rPr>
        <w:t xml:space="preserve"> Fibrose cística; ARMS-PCR; CFTR; Mutações.</w:t>
      </w:r>
    </w:p>
    <w:p w14:paraId="66824D6F" w14:textId="7FD8F22B" w:rsidR="004207F9" w:rsidRDefault="00362D53" w:rsidP="00702ABA">
      <w:pPr>
        <w:pStyle w:val="Normal1"/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84B86E" w14:textId="77777777" w:rsidR="002E7390" w:rsidRDefault="002E7390" w:rsidP="00702ABA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p w14:paraId="3BA42C4D" w14:textId="77777777" w:rsidR="002E7390" w:rsidRDefault="002E7390" w:rsidP="00702ABA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p w14:paraId="244465BC" w14:textId="77777777" w:rsidR="002E7390" w:rsidRDefault="002E7390" w:rsidP="00702ABA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p w14:paraId="5E2B048C" w14:textId="5CFA517B" w:rsidR="002E7390" w:rsidRPr="00702ABA" w:rsidRDefault="002E7390" w:rsidP="00702ABA">
      <w:pPr>
        <w:pStyle w:val="Normal1"/>
        <w:spacing w:before="100" w:after="100"/>
        <w:jc w:val="both"/>
        <w:rPr>
          <w:rFonts w:ascii="Arial" w:eastAsia="Arial" w:hAnsi="Arial" w:cs="Arial"/>
        </w:rPr>
      </w:pPr>
    </w:p>
    <w:sectPr w:rsidR="002E7390" w:rsidRPr="00702ABA" w:rsidSect="0097388E">
      <w:footerReference w:type="default" r:id="rId6"/>
      <w:footerReference w:type="first" r:id="rId7"/>
      <w:pgSz w:w="11900" w:h="16840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0C81" w14:textId="77777777" w:rsidR="00462BBE" w:rsidRDefault="00462BBE">
      <w:r>
        <w:separator/>
      </w:r>
    </w:p>
  </w:endnote>
  <w:endnote w:type="continuationSeparator" w:id="0">
    <w:p w14:paraId="006E39F0" w14:textId="77777777" w:rsidR="00462BBE" w:rsidRDefault="004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3A6B" w14:textId="52ACB671" w:rsidR="00A74D75" w:rsidRDefault="00A74D75">
    <w:pPr>
      <w:pStyle w:val="Normal1"/>
      <w:tabs>
        <w:tab w:val="center" w:pos="4320"/>
        <w:tab w:val="right" w:pos="8640"/>
      </w:tabs>
      <w:spacing w:after="709"/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9FCE" w14:textId="77777777" w:rsidR="00A74D75" w:rsidRDefault="00A74D75" w:rsidP="0097388E">
    <w:pPr>
      <w:pStyle w:val="Normal1"/>
      <w:tabs>
        <w:tab w:val="center" w:pos="4320"/>
        <w:tab w:val="right" w:pos="8640"/>
      </w:tabs>
    </w:pPr>
  </w:p>
  <w:p w14:paraId="06298558" w14:textId="77777777" w:rsidR="00A74D75" w:rsidRDefault="00A74D75" w:rsidP="0097388E">
    <w:pPr>
      <w:pStyle w:val="Normal1"/>
      <w:tabs>
        <w:tab w:val="center" w:pos="4320"/>
        <w:tab w:val="right" w:pos="8640"/>
      </w:tabs>
    </w:pPr>
  </w:p>
  <w:p w14:paraId="1614113A" w14:textId="77777777" w:rsidR="00A74D75" w:rsidRDefault="00A74D75" w:rsidP="0097388E">
    <w:pPr>
      <w:pStyle w:val="Normal1"/>
      <w:tabs>
        <w:tab w:val="center" w:pos="4320"/>
        <w:tab w:val="right" w:pos="8640"/>
      </w:tabs>
    </w:pPr>
    <w:r>
      <w:tab/>
    </w:r>
    <w:r>
      <w:rPr>
        <w:sz w:val="18"/>
        <w:szCs w:val="18"/>
      </w:rPr>
      <w:t xml:space="preserve">1 Doutoranda em Biotecnologia Aplicado a Saúde da Criança e do Adolescente pela Faculdades Pequeno Principe </w:t>
    </w:r>
  </w:p>
  <w:p w14:paraId="1AE5A794" w14:textId="77777777" w:rsidR="00A74D75" w:rsidRDefault="00A74D75" w:rsidP="0097388E">
    <w:pPr>
      <w:pStyle w:val="Normal1"/>
      <w:tabs>
        <w:tab w:val="center" w:pos="4320"/>
        <w:tab w:val="right" w:pos="8640"/>
      </w:tabs>
    </w:pPr>
    <w:r>
      <w:rPr>
        <w:sz w:val="18"/>
        <w:szCs w:val="18"/>
      </w:rPr>
      <w:t xml:space="preserve">2 Doutora em Farmacologia pela Universidade Estadual de Campinas (2008) </w:t>
    </w:r>
  </w:p>
  <w:p w14:paraId="1F3163CA" w14:textId="75AC88E7" w:rsidR="00A74D75" w:rsidRDefault="00A74D75" w:rsidP="0097388E">
    <w:pPr>
      <w:pStyle w:val="Normal1"/>
      <w:tabs>
        <w:tab w:val="center" w:pos="4320"/>
        <w:tab w:val="right" w:pos="8640"/>
      </w:tabs>
      <w:spacing w:after="709"/>
    </w:pPr>
    <w:r>
      <w:rPr>
        <w:sz w:val="18"/>
        <w:szCs w:val="18"/>
      </w:rPr>
      <w:t xml:space="preserve">3 Doutor em </w:t>
    </w:r>
    <w:r w:rsidR="002F2D33" w:rsidRPr="002F2D33">
      <w:rPr>
        <w:sz w:val="18"/>
        <w:szCs w:val="18"/>
        <w:highlight w:val="yellow"/>
      </w:rPr>
      <w:t>Biotecnologias no</w:t>
    </w:r>
    <w:r w:rsidR="002F2D33">
      <w:rPr>
        <w:sz w:val="18"/>
        <w:szCs w:val="18"/>
      </w:rPr>
      <w:t xml:space="preserve"> </w:t>
    </w:r>
    <w:r>
      <w:rPr>
        <w:sz w:val="18"/>
        <w:szCs w:val="18"/>
      </w:rPr>
      <w:t>Transplante de Medula Óssea Humana pela Università degli Studi di Perugia (2006)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5804" w14:textId="77777777" w:rsidR="00462BBE" w:rsidRDefault="00462BBE">
      <w:r>
        <w:separator/>
      </w:r>
    </w:p>
  </w:footnote>
  <w:footnote w:type="continuationSeparator" w:id="0">
    <w:p w14:paraId="08ECD93B" w14:textId="77777777" w:rsidR="00462BBE" w:rsidRDefault="0046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7F9"/>
    <w:rsid w:val="00071C76"/>
    <w:rsid w:val="000F114D"/>
    <w:rsid w:val="001221AB"/>
    <w:rsid w:val="00157B61"/>
    <w:rsid w:val="0020754A"/>
    <w:rsid w:val="00222E4F"/>
    <w:rsid w:val="00264D30"/>
    <w:rsid w:val="002A6B2E"/>
    <w:rsid w:val="002E11D9"/>
    <w:rsid w:val="002E7390"/>
    <w:rsid w:val="002F2D33"/>
    <w:rsid w:val="00304FEC"/>
    <w:rsid w:val="00356AA2"/>
    <w:rsid w:val="00362D53"/>
    <w:rsid w:val="00397598"/>
    <w:rsid w:val="004055EB"/>
    <w:rsid w:val="004207F9"/>
    <w:rsid w:val="00462BBE"/>
    <w:rsid w:val="00590396"/>
    <w:rsid w:val="00636C30"/>
    <w:rsid w:val="006641CC"/>
    <w:rsid w:val="00695A84"/>
    <w:rsid w:val="00702ABA"/>
    <w:rsid w:val="0074703B"/>
    <w:rsid w:val="007902D5"/>
    <w:rsid w:val="007F3616"/>
    <w:rsid w:val="0084316C"/>
    <w:rsid w:val="00895857"/>
    <w:rsid w:val="008C6DA4"/>
    <w:rsid w:val="008F12D8"/>
    <w:rsid w:val="008F3E38"/>
    <w:rsid w:val="0097388E"/>
    <w:rsid w:val="009A0AA8"/>
    <w:rsid w:val="009C4B54"/>
    <w:rsid w:val="00A07516"/>
    <w:rsid w:val="00A262A4"/>
    <w:rsid w:val="00A6353A"/>
    <w:rsid w:val="00A74D75"/>
    <w:rsid w:val="00AD28C8"/>
    <w:rsid w:val="00AF4CFB"/>
    <w:rsid w:val="00BB478B"/>
    <w:rsid w:val="00C63482"/>
    <w:rsid w:val="00CB1CF4"/>
    <w:rsid w:val="00CE22B7"/>
    <w:rsid w:val="00D36EC3"/>
    <w:rsid w:val="00D73C5B"/>
    <w:rsid w:val="00D870A3"/>
    <w:rsid w:val="00D92942"/>
    <w:rsid w:val="00DB0287"/>
    <w:rsid w:val="00DD2AE3"/>
    <w:rsid w:val="00E66942"/>
    <w:rsid w:val="00E818FD"/>
    <w:rsid w:val="00F52E96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3C1AF"/>
  <w15:docId w15:val="{49AE4D2E-5421-4DD4-91B5-7C875FF1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61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616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262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2A4"/>
  </w:style>
  <w:style w:type="paragraph" w:styleId="Rodap">
    <w:name w:val="footer"/>
    <w:basedOn w:val="Normal"/>
    <w:link w:val="RodapChar"/>
    <w:uiPriority w:val="99"/>
    <w:unhideWhenUsed/>
    <w:rsid w:val="00A262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262A4"/>
  </w:style>
  <w:style w:type="character" w:styleId="Refdecomentrio">
    <w:name w:val="annotation reference"/>
    <w:basedOn w:val="Fontepargpadro"/>
    <w:uiPriority w:val="99"/>
    <w:semiHidden/>
    <w:unhideWhenUsed/>
    <w:rsid w:val="00356A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A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6A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A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6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Rosati</cp:lastModifiedBy>
  <cp:revision>4</cp:revision>
  <dcterms:created xsi:type="dcterms:W3CDTF">2016-08-30T19:33:00Z</dcterms:created>
  <dcterms:modified xsi:type="dcterms:W3CDTF">2016-08-30T19:45:00Z</dcterms:modified>
</cp:coreProperties>
</file>