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76B9" w:rsidRDefault="00674A6F">
      <w:pPr>
        <w:spacing w:line="240" w:lineRule="auto"/>
        <w:jc w:val="center"/>
      </w:pPr>
      <w:r>
        <w:rPr>
          <w:rFonts w:ascii="Arial" w:eastAsia="Arial" w:hAnsi="Arial" w:cs="Arial"/>
          <w:b/>
          <w:sz w:val="24"/>
          <w:szCs w:val="24"/>
        </w:rPr>
        <w:t>COMPARAÇÃO DOS TESTES “NITROBLUE TETRAZOLIUM” E “DIHYDRORHODAMINA 123” PARA ESTUDO DO SISTEMA NADPH OXIDASE FAGOCÍTICO HUMANO</w:t>
      </w:r>
    </w:p>
    <w:p w:rsidR="006176B9" w:rsidRDefault="006176B9">
      <w:pPr>
        <w:spacing w:after="0" w:line="240" w:lineRule="auto"/>
        <w:jc w:val="center"/>
      </w:pPr>
    </w:p>
    <w:p w:rsidR="006176B9" w:rsidRDefault="006176B9">
      <w:pPr>
        <w:spacing w:after="0" w:line="240" w:lineRule="auto"/>
        <w:jc w:val="center"/>
      </w:pPr>
    </w:p>
    <w:p w:rsidR="006176B9" w:rsidRDefault="00674A6F" w:rsidP="00C778DA">
      <w:pPr>
        <w:spacing w:after="0" w:line="240" w:lineRule="auto"/>
        <w:jc w:val="right"/>
      </w:pPr>
      <w:r>
        <w:rPr>
          <w:rFonts w:ascii="Arial" w:eastAsia="Arial" w:hAnsi="Arial" w:cs="Arial"/>
          <w:sz w:val="20"/>
          <w:szCs w:val="20"/>
        </w:rPr>
        <w:t>Leticia Hack</w:t>
      </w:r>
      <w:r>
        <w:rPr>
          <w:rFonts w:ascii="Arial" w:eastAsia="Arial" w:hAnsi="Arial" w:cs="Arial"/>
          <w:sz w:val="20"/>
          <w:szCs w:val="20"/>
          <w:vertAlign w:val="superscript"/>
        </w:rPr>
        <w:t>1</w:t>
      </w:r>
      <w:r>
        <w:rPr>
          <w:rFonts w:ascii="Arial" w:eastAsia="Arial" w:hAnsi="Arial" w:cs="Arial"/>
          <w:sz w:val="20"/>
          <w:szCs w:val="20"/>
        </w:rPr>
        <w:t xml:space="preserve">, </w:t>
      </w:r>
      <w:proofErr w:type="spellStart"/>
      <w:r>
        <w:rPr>
          <w:rFonts w:ascii="Arial" w:eastAsia="Arial" w:hAnsi="Arial" w:cs="Arial"/>
          <w:sz w:val="20"/>
          <w:szCs w:val="20"/>
        </w:rPr>
        <w:t>Stéfanne</w:t>
      </w:r>
      <w:proofErr w:type="spellEnd"/>
      <w:r>
        <w:rPr>
          <w:rFonts w:ascii="Arial" w:eastAsia="Arial" w:hAnsi="Arial" w:cs="Arial"/>
          <w:sz w:val="20"/>
          <w:szCs w:val="20"/>
        </w:rPr>
        <w:t xml:space="preserve"> Bortoletto</w:t>
      </w:r>
      <w:r>
        <w:rPr>
          <w:rFonts w:ascii="Arial" w:eastAsia="Arial" w:hAnsi="Arial" w:cs="Arial"/>
          <w:sz w:val="20"/>
          <w:szCs w:val="20"/>
          <w:vertAlign w:val="superscript"/>
        </w:rPr>
        <w:t>1</w:t>
      </w:r>
      <w:r>
        <w:rPr>
          <w:rFonts w:ascii="Arial" w:eastAsia="Arial" w:hAnsi="Arial" w:cs="Arial"/>
          <w:sz w:val="20"/>
          <w:szCs w:val="20"/>
        </w:rPr>
        <w:t xml:space="preserve">, </w:t>
      </w:r>
      <w:proofErr w:type="spellStart"/>
      <w:r>
        <w:rPr>
          <w:rFonts w:ascii="Arial" w:eastAsia="Arial" w:hAnsi="Arial" w:cs="Arial"/>
          <w:sz w:val="20"/>
          <w:szCs w:val="20"/>
        </w:rPr>
        <w:t>Nicolli</w:t>
      </w:r>
      <w:proofErr w:type="spellEnd"/>
      <w:r>
        <w:rPr>
          <w:rFonts w:ascii="Arial" w:eastAsia="Arial" w:hAnsi="Arial" w:cs="Arial"/>
          <w:sz w:val="20"/>
          <w:szCs w:val="20"/>
        </w:rPr>
        <w:t xml:space="preserve"> Gasparin</w:t>
      </w:r>
      <w:r>
        <w:rPr>
          <w:rFonts w:ascii="Arial" w:eastAsia="Arial" w:hAnsi="Arial" w:cs="Arial"/>
          <w:sz w:val="20"/>
          <w:szCs w:val="20"/>
          <w:vertAlign w:val="superscript"/>
        </w:rPr>
        <w:t>2</w:t>
      </w:r>
      <w:r>
        <w:rPr>
          <w:rFonts w:ascii="Arial" w:eastAsia="Arial" w:hAnsi="Arial" w:cs="Arial"/>
          <w:sz w:val="20"/>
          <w:szCs w:val="20"/>
        </w:rPr>
        <w:t>, Caroline Kael</w:t>
      </w:r>
      <w:r>
        <w:rPr>
          <w:rFonts w:ascii="Arial" w:eastAsia="Arial" w:hAnsi="Arial" w:cs="Arial"/>
          <w:sz w:val="20"/>
          <w:szCs w:val="20"/>
          <w:vertAlign w:val="superscript"/>
        </w:rPr>
        <w:t>2</w:t>
      </w:r>
      <w:r>
        <w:rPr>
          <w:rFonts w:ascii="Arial" w:eastAsia="Arial" w:hAnsi="Arial" w:cs="Arial"/>
          <w:sz w:val="20"/>
          <w:szCs w:val="20"/>
        </w:rPr>
        <w:t>, Ana Carolina Irioda</w:t>
      </w:r>
      <w:r>
        <w:rPr>
          <w:rFonts w:ascii="Arial" w:eastAsia="Arial" w:hAnsi="Arial" w:cs="Arial"/>
          <w:sz w:val="20"/>
          <w:szCs w:val="20"/>
          <w:vertAlign w:val="superscript"/>
        </w:rPr>
        <w:t>3</w:t>
      </w:r>
      <w:r>
        <w:rPr>
          <w:rFonts w:ascii="Arial" w:eastAsia="Arial" w:hAnsi="Arial" w:cs="Arial"/>
          <w:sz w:val="20"/>
          <w:szCs w:val="20"/>
        </w:rPr>
        <w:t>, Carolina Cardoso de Mello Prando</w:t>
      </w:r>
      <w:r>
        <w:rPr>
          <w:rFonts w:ascii="Arial" w:eastAsia="Arial" w:hAnsi="Arial" w:cs="Arial"/>
          <w:sz w:val="20"/>
          <w:szCs w:val="20"/>
          <w:vertAlign w:val="superscript"/>
        </w:rPr>
        <w:t>4</w:t>
      </w:r>
    </w:p>
    <w:p w:rsidR="006176B9" w:rsidRDefault="006176B9" w:rsidP="00C778DA">
      <w:pPr>
        <w:spacing w:line="240" w:lineRule="auto"/>
        <w:jc w:val="right"/>
      </w:pPr>
    </w:p>
    <w:p w:rsidR="006176B9" w:rsidRDefault="00674A6F" w:rsidP="00C778DA">
      <w:pPr>
        <w:spacing w:line="240" w:lineRule="auto"/>
        <w:ind w:left="851"/>
        <w:jc w:val="both"/>
      </w:pPr>
      <w:r>
        <w:rPr>
          <w:rFonts w:ascii="Arial" w:eastAsia="Arial" w:hAnsi="Arial" w:cs="Arial"/>
          <w:sz w:val="20"/>
          <w:szCs w:val="20"/>
        </w:rPr>
        <w:t>1.</w:t>
      </w:r>
      <w:r>
        <w:rPr>
          <w:rFonts w:ascii="Arial" w:eastAsia="Arial" w:hAnsi="Arial" w:cs="Arial"/>
          <w:sz w:val="20"/>
          <w:szCs w:val="20"/>
          <w:vertAlign w:val="superscript"/>
        </w:rPr>
        <w:t xml:space="preserve"> </w:t>
      </w:r>
      <w:r>
        <w:rPr>
          <w:rFonts w:ascii="Arial" w:eastAsia="Arial" w:hAnsi="Arial" w:cs="Arial"/>
          <w:sz w:val="20"/>
          <w:szCs w:val="20"/>
        </w:rPr>
        <w:t xml:space="preserve">Biomédica </w:t>
      </w:r>
      <w:proofErr w:type="spellStart"/>
      <w:r>
        <w:rPr>
          <w:rFonts w:ascii="Arial" w:eastAsia="Arial" w:hAnsi="Arial" w:cs="Arial"/>
          <w:sz w:val="20"/>
          <w:szCs w:val="20"/>
        </w:rPr>
        <w:t>pela</w:t>
      </w:r>
      <w:proofErr w:type="spellEnd"/>
      <w:r>
        <w:rPr>
          <w:rFonts w:ascii="Arial" w:eastAsia="Arial" w:hAnsi="Arial" w:cs="Arial"/>
          <w:sz w:val="20"/>
          <w:szCs w:val="20"/>
        </w:rPr>
        <w:t xml:space="preserve"> Faculdades Pequeno Príncipe. Mestranda pelo Programa de Mestrado em Biotecnologia Aplicada à Saúde da Criança e do Adolescente, Curitiba, Paraná, Brasil</w:t>
      </w:r>
    </w:p>
    <w:p w:rsidR="006176B9" w:rsidRDefault="00674A6F" w:rsidP="00C778DA">
      <w:pPr>
        <w:tabs>
          <w:tab w:val="left" w:pos="142"/>
        </w:tabs>
        <w:spacing w:line="240" w:lineRule="auto"/>
        <w:ind w:left="851"/>
        <w:jc w:val="both"/>
      </w:pPr>
      <w:r>
        <w:rPr>
          <w:rFonts w:ascii="Arial" w:eastAsia="Arial" w:hAnsi="Arial" w:cs="Arial"/>
          <w:sz w:val="20"/>
          <w:szCs w:val="20"/>
        </w:rPr>
        <w:t>2.</w:t>
      </w:r>
      <w:r>
        <w:rPr>
          <w:rFonts w:ascii="Arial" w:eastAsia="Arial" w:hAnsi="Arial" w:cs="Arial"/>
          <w:sz w:val="20"/>
          <w:szCs w:val="20"/>
          <w:vertAlign w:val="superscript"/>
        </w:rPr>
        <w:t xml:space="preserve"> </w:t>
      </w:r>
      <w:r>
        <w:rPr>
          <w:rFonts w:ascii="Arial" w:eastAsia="Arial" w:hAnsi="Arial" w:cs="Arial"/>
          <w:sz w:val="20"/>
          <w:szCs w:val="20"/>
        </w:rPr>
        <w:t>Acadêmica do 4º período do Curso de graduação em Biomedicina e Farmácia das Facu</w:t>
      </w:r>
      <w:r>
        <w:rPr>
          <w:rFonts w:ascii="Arial" w:eastAsia="Arial" w:hAnsi="Arial" w:cs="Arial"/>
          <w:sz w:val="20"/>
          <w:szCs w:val="20"/>
        </w:rPr>
        <w:t>ldades Pequeno Príncipe – FPP, Curitiba, Paraná, Brasil</w:t>
      </w:r>
    </w:p>
    <w:p w:rsidR="006176B9" w:rsidRDefault="00674A6F" w:rsidP="00C778DA">
      <w:pPr>
        <w:spacing w:line="240" w:lineRule="auto"/>
        <w:ind w:left="851"/>
        <w:jc w:val="both"/>
      </w:pPr>
      <w:r>
        <w:rPr>
          <w:rFonts w:ascii="Arial" w:eastAsia="Arial" w:hAnsi="Arial" w:cs="Arial"/>
          <w:sz w:val="20"/>
          <w:szCs w:val="20"/>
        </w:rPr>
        <w:t>3.</w:t>
      </w:r>
      <w:r>
        <w:rPr>
          <w:rFonts w:ascii="Arial" w:eastAsia="Arial" w:hAnsi="Arial" w:cs="Arial"/>
          <w:sz w:val="20"/>
          <w:szCs w:val="20"/>
          <w:vertAlign w:val="superscript"/>
        </w:rPr>
        <w:t xml:space="preserve"> </w:t>
      </w:r>
      <w:r>
        <w:rPr>
          <w:rFonts w:ascii="Arial" w:eastAsia="Arial" w:hAnsi="Arial" w:cs="Arial"/>
          <w:sz w:val="20"/>
          <w:szCs w:val="20"/>
        </w:rPr>
        <w:t xml:space="preserve">Bióloga pela Universidade </w:t>
      </w:r>
      <w:proofErr w:type="spellStart"/>
      <w:r>
        <w:rPr>
          <w:rFonts w:ascii="Arial" w:eastAsia="Arial" w:hAnsi="Arial" w:cs="Arial"/>
          <w:sz w:val="20"/>
          <w:szCs w:val="20"/>
        </w:rPr>
        <w:t>Tuiuti</w:t>
      </w:r>
      <w:proofErr w:type="spellEnd"/>
      <w:r>
        <w:rPr>
          <w:rFonts w:ascii="Arial" w:eastAsia="Arial" w:hAnsi="Arial" w:cs="Arial"/>
          <w:sz w:val="20"/>
          <w:szCs w:val="20"/>
        </w:rPr>
        <w:t xml:space="preserve"> do Paraná. Doutoranda pelo Programa de Mestrado em Biotecnologia Aplicada à Saúde da Criança e do Adolescente, Curitiba, Paraná, Brasil </w:t>
      </w:r>
    </w:p>
    <w:p w:rsidR="006176B9" w:rsidRDefault="00674A6F" w:rsidP="00C778DA">
      <w:pPr>
        <w:spacing w:line="240" w:lineRule="auto"/>
        <w:ind w:left="851"/>
        <w:jc w:val="both"/>
      </w:pPr>
      <w:r>
        <w:rPr>
          <w:rFonts w:ascii="Arial" w:eastAsia="Arial" w:hAnsi="Arial" w:cs="Arial"/>
          <w:sz w:val="20"/>
          <w:szCs w:val="20"/>
        </w:rPr>
        <w:t>4.</w:t>
      </w:r>
      <w:r>
        <w:rPr>
          <w:rFonts w:ascii="Arial" w:eastAsia="Arial" w:hAnsi="Arial" w:cs="Arial"/>
          <w:sz w:val="20"/>
          <w:szCs w:val="20"/>
          <w:vertAlign w:val="superscript"/>
        </w:rPr>
        <w:t xml:space="preserve"> </w:t>
      </w:r>
      <w:r>
        <w:rPr>
          <w:rFonts w:ascii="Arial" w:eastAsia="Arial" w:hAnsi="Arial" w:cs="Arial"/>
          <w:sz w:val="20"/>
          <w:szCs w:val="20"/>
        </w:rPr>
        <w:t xml:space="preserve">Doutora em Farmacologia </w:t>
      </w:r>
      <w:r>
        <w:rPr>
          <w:rFonts w:ascii="Arial" w:eastAsia="Arial" w:hAnsi="Arial" w:cs="Arial"/>
          <w:sz w:val="20"/>
          <w:szCs w:val="20"/>
        </w:rPr>
        <w:t>pela Universidade Estadual de Campinas. Pesquisadora, Instituto de Pesquisa Pelé Pequeno Príncipe. Docente do Programa de Pós-Graduação em Biotecnologia Aplicada à Saúde da Criança e do Adolescente, Faculdades Pequeno Príncipe. Médica especialista em Alerg</w:t>
      </w:r>
      <w:r>
        <w:rPr>
          <w:rFonts w:ascii="Arial" w:eastAsia="Arial" w:hAnsi="Arial" w:cs="Arial"/>
          <w:sz w:val="20"/>
          <w:szCs w:val="20"/>
        </w:rPr>
        <w:t>ia e Imunologia, Hospital Pequeno Príncipe (HPP). Curitiba, Paraná, Brasil</w:t>
      </w:r>
    </w:p>
    <w:p w:rsidR="006176B9" w:rsidRDefault="006176B9">
      <w:pPr>
        <w:spacing w:line="240" w:lineRule="auto"/>
        <w:jc w:val="both"/>
      </w:pPr>
    </w:p>
    <w:p w:rsidR="006176B9" w:rsidRDefault="00674A6F">
      <w:pPr>
        <w:spacing w:line="240" w:lineRule="auto"/>
        <w:jc w:val="center"/>
      </w:pPr>
      <w:bookmarkStart w:id="0" w:name="_gjdgxs" w:colFirst="0" w:colLast="0"/>
      <w:bookmarkEnd w:id="0"/>
      <w:r>
        <w:rPr>
          <w:rFonts w:ascii="Arial" w:eastAsia="Arial" w:hAnsi="Arial" w:cs="Arial"/>
          <w:b/>
          <w:sz w:val="24"/>
          <w:szCs w:val="24"/>
        </w:rPr>
        <w:t>RESUMO</w:t>
      </w:r>
    </w:p>
    <w:p w:rsidR="006176B9" w:rsidRDefault="006176B9">
      <w:pPr>
        <w:spacing w:line="240" w:lineRule="auto"/>
        <w:jc w:val="both"/>
      </w:pPr>
    </w:p>
    <w:p w:rsidR="006176B9" w:rsidRDefault="00674A6F">
      <w:pPr>
        <w:spacing w:after="0" w:line="360" w:lineRule="auto"/>
        <w:ind w:firstLine="708"/>
        <w:jc w:val="both"/>
      </w:pPr>
      <w:bookmarkStart w:id="1" w:name="_30j0zll" w:colFirst="0" w:colLast="0"/>
      <w:bookmarkStart w:id="2" w:name="_GoBack"/>
      <w:bookmarkEnd w:id="1"/>
      <w:r>
        <w:rPr>
          <w:rFonts w:ascii="Arial" w:eastAsia="Arial" w:hAnsi="Arial" w:cs="Arial"/>
          <w:sz w:val="24"/>
          <w:szCs w:val="24"/>
        </w:rPr>
        <w:t>O sistema NADPH oxidase, composto das subunidades p47</w:t>
      </w:r>
      <w:r>
        <w:rPr>
          <w:rFonts w:ascii="Arial" w:eastAsia="Arial" w:hAnsi="Arial" w:cs="Arial"/>
          <w:sz w:val="24"/>
          <w:szCs w:val="24"/>
          <w:vertAlign w:val="superscript"/>
        </w:rPr>
        <w:t>phox</w:t>
      </w:r>
      <w:r>
        <w:rPr>
          <w:rFonts w:ascii="Arial" w:eastAsia="Arial" w:hAnsi="Arial" w:cs="Arial"/>
          <w:sz w:val="24"/>
          <w:szCs w:val="24"/>
        </w:rPr>
        <w:t>, p67</w:t>
      </w:r>
      <w:r>
        <w:rPr>
          <w:rFonts w:ascii="Arial" w:eastAsia="Arial" w:hAnsi="Arial" w:cs="Arial"/>
          <w:sz w:val="24"/>
          <w:szCs w:val="24"/>
          <w:vertAlign w:val="superscript"/>
        </w:rPr>
        <w:t>phox</w:t>
      </w:r>
      <w:r>
        <w:rPr>
          <w:rFonts w:ascii="Arial" w:eastAsia="Arial" w:hAnsi="Arial" w:cs="Arial"/>
          <w:sz w:val="24"/>
          <w:szCs w:val="24"/>
        </w:rPr>
        <w:t>, p40</w:t>
      </w:r>
      <w:r>
        <w:rPr>
          <w:rFonts w:ascii="Arial" w:eastAsia="Arial" w:hAnsi="Arial" w:cs="Arial"/>
          <w:sz w:val="24"/>
          <w:szCs w:val="24"/>
          <w:vertAlign w:val="superscript"/>
        </w:rPr>
        <w:t>phox</w:t>
      </w:r>
      <w:r>
        <w:rPr>
          <w:rFonts w:ascii="Arial" w:eastAsia="Arial" w:hAnsi="Arial" w:cs="Arial"/>
          <w:sz w:val="24"/>
          <w:szCs w:val="24"/>
        </w:rPr>
        <w:t>, p22</w:t>
      </w:r>
      <w:r>
        <w:rPr>
          <w:rFonts w:ascii="Arial" w:eastAsia="Arial" w:hAnsi="Arial" w:cs="Arial"/>
          <w:sz w:val="24"/>
          <w:szCs w:val="24"/>
          <w:vertAlign w:val="superscript"/>
        </w:rPr>
        <w:t>phox</w:t>
      </w:r>
      <w:r>
        <w:rPr>
          <w:rFonts w:ascii="Arial" w:eastAsia="Arial" w:hAnsi="Arial" w:cs="Arial"/>
          <w:sz w:val="24"/>
          <w:szCs w:val="24"/>
        </w:rPr>
        <w:t xml:space="preserve"> e gp91</w:t>
      </w:r>
      <w:r>
        <w:rPr>
          <w:rFonts w:ascii="Arial" w:eastAsia="Arial" w:hAnsi="Arial" w:cs="Arial"/>
          <w:sz w:val="24"/>
          <w:szCs w:val="24"/>
          <w:vertAlign w:val="superscript"/>
        </w:rPr>
        <w:t>phox</w:t>
      </w:r>
      <w:r>
        <w:rPr>
          <w:rFonts w:ascii="Arial" w:eastAsia="Arial" w:hAnsi="Arial" w:cs="Arial"/>
          <w:sz w:val="24"/>
          <w:szCs w:val="24"/>
        </w:rPr>
        <w:t xml:space="preserve"> e proteínas reguladoras, é responsável pela produção de reativos do oxigênio</w:t>
      </w:r>
      <w:r>
        <w:rPr>
          <w:rFonts w:ascii="Arial" w:eastAsia="Arial" w:hAnsi="Arial" w:cs="Arial"/>
          <w:sz w:val="24"/>
          <w:szCs w:val="24"/>
        </w:rPr>
        <w:t xml:space="preserve"> a partir da transferência de um elétron para o oxigênio molecular. Este sistema é responsável pela degradação do microrganismo após a sua ingestão por fagocitose. Mutações nos genes que codificam as diferentes subunidades deste sistema caracterizam uma im</w:t>
      </w:r>
      <w:r>
        <w:rPr>
          <w:rFonts w:ascii="Arial" w:eastAsia="Arial" w:hAnsi="Arial" w:cs="Arial"/>
          <w:sz w:val="24"/>
          <w:szCs w:val="24"/>
        </w:rPr>
        <w:t xml:space="preserve">unodeficiência primária, a Doença </w:t>
      </w:r>
      <w:proofErr w:type="spellStart"/>
      <w:r>
        <w:rPr>
          <w:rFonts w:ascii="Arial" w:eastAsia="Arial" w:hAnsi="Arial" w:cs="Arial"/>
          <w:sz w:val="24"/>
          <w:szCs w:val="24"/>
        </w:rPr>
        <w:t>Granulomatosa</w:t>
      </w:r>
      <w:proofErr w:type="spellEnd"/>
      <w:r>
        <w:rPr>
          <w:rFonts w:ascii="Arial" w:eastAsia="Arial" w:hAnsi="Arial" w:cs="Arial"/>
          <w:sz w:val="24"/>
          <w:szCs w:val="24"/>
        </w:rPr>
        <w:t xml:space="preserve"> Crônica (DGC). Em 1957 e 1958 foram descritos os primeiros pacientes, meninos que apresentavam </w:t>
      </w:r>
      <w:proofErr w:type="spellStart"/>
      <w:r>
        <w:rPr>
          <w:rFonts w:ascii="Arial" w:eastAsia="Arial" w:hAnsi="Arial" w:cs="Arial"/>
          <w:sz w:val="24"/>
          <w:szCs w:val="24"/>
        </w:rPr>
        <w:t>hipergamaglobulinemia</w:t>
      </w:r>
      <w:proofErr w:type="spellEnd"/>
      <w:r>
        <w:rPr>
          <w:rFonts w:ascii="Arial" w:eastAsia="Arial" w:hAnsi="Arial" w:cs="Arial"/>
          <w:sz w:val="24"/>
          <w:szCs w:val="24"/>
        </w:rPr>
        <w:t xml:space="preserve">, </w:t>
      </w:r>
      <w:proofErr w:type="spellStart"/>
      <w:r>
        <w:rPr>
          <w:rFonts w:ascii="Arial" w:eastAsia="Arial" w:hAnsi="Arial" w:cs="Arial"/>
          <w:sz w:val="24"/>
          <w:szCs w:val="24"/>
        </w:rPr>
        <w:t>linfadenite</w:t>
      </w:r>
      <w:proofErr w:type="spellEnd"/>
      <w:r>
        <w:rPr>
          <w:rFonts w:ascii="Arial" w:eastAsia="Arial" w:hAnsi="Arial" w:cs="Arial"/>
          <w:sz w:val="24"/>
          <w:szCs w:val="24"/>
        </w:rPr>
        <w:t xml:space="preserve"> supurativa, </w:t>
      </w:r>
      <w:proofErr w:type="spellStart"/>
      <w:r>
        <w:rPr>
          <w:rFonts w:ascii="Arial" w:eastAsia="Arial" w:hAnsi="Arial" w:cs="Arial"/>
          <w:sz w:val="24"/>
          <w:szCs w:val="24"/>
        </w:rPr>
        <w:t>hepatoesplenomegalia</w:t>
      </w:r>
      <w:proofErr w:type="spellEnd"/>
      <w:r>
        <w:rPr>
          <w:rFonts w:ascii="Arial" w:eastAsia="Arial" w:hAnsi="Arial" w:cs="Arial"/>
          <w:sz w:val="24"/>
          <w:szCs w:val="24"/>
        </w:rPr>
        <w:t xml:space="preserve"> e infiltrado pulmonar, com granulomas em dife</w:t>
      </w:r>
      <w:r>
        <w:rPr>
          <w:rFonts w:ascii="Arial" w:eastAsia="Arial" w:hAnsi="Arial" w:cs="Arial"/>
          <w:sz w:val="24"/>
          <w:szCs w:val="24"/>
        </w:rPr>
        <w:t xml:space="preserve">rentes tecidos de biópsia e autópsia. Em 1967, </w:t>
      </w:r>
      <w:proofErr w:type="spellStart"/>
      <w:r>
        <w:rPr>
          <w:rFonts w:ascii="Arial" w:eastAsia="Arial" w:hAnsi="Arial" w:cs="Arial"/>
          <w:sz w:val="24"/>
          <w:szCs w:val="24"/>
        </w:rPr>
        <w:t>Quie</w:t>
      </w:r>
      <w:proofErr w:type="spellEnd"/>
      <w:r>
        <w:rPr>
          <w:rFonts w:ascii="Arial" w:eastAsia="Arial" w:hAnsi="Arial" w:cs="Arial"/>
          <w:sz w:val="24"/>
          <w:szCs w:val="24"/>
        </w:rPr>
        <w:t xml:space="preserve"> et col. mostraram que a fagocitose era normal nas células de pacientes com quadro clínico e laboratorial semelhante, porém a capacidade de digestão dos microrganismos nestas células estava prejudicada. Ce</w:t>
      </w:r>
      <w:r>
        <w:rPr>
          <w:rFonts w:ascii="Arial" w:eastAsia="Arial" w:hAnsi="Arial" w:cs="Arial"/>
          <w:sz w:val="24"/>
          <w:szCs w:val="24"/>
        </w:rPr>
        <w:t xml:space="preserve">rca de 10 anos depois, </w:t>
      </w:r>
      <w:proofErr w:type="spellStart"/>
      <w:r>
        <w:rPr>
          <w:rFonts w:ascii="Arial" w:eastAsia="Arial" w:hAnsi="Arial" w:cs="Arial"/>
          <w:sz w:val="24"/>
          <w:szCs w:val="24"/>
        </w:rPr>
        <w:t>Dilworth</w:t>
      </w:r>
      <w:proofErr w:type="spellEnd"/>
      <w:r>
        <w:rPr>
          <w:rFonts w:ascii="Arial" w:eastAsia="Arial" w:hAnsi="Arial" w:cs="Arial"/>
          <w:sz w:val="24"/>
          <w:szCs w:val="24"/>
        </w:rPr>
        <w:t xml:space="preserve"> e </w:t>
      </w:r>
      <w:proofErr w:type="spellStart"/>
      <w:r>
        <w:rPr>
          <w:rFonts w:ascii="Arial" w:eastAsia="Arial" w:hAnsi="Arial" w:cs="Arial"/>
          <w:sz w:val="24"/>
          <w:szCs w:val="24"/>
        </w:rPr>
        <w:t>Mandell</w:t>
      </w:r>
      <w:proofErr w:type="spellEnd"/>
      <w:r>
        <w:rPr>
          <w:rFonts w:ascii="Arial" w:eastAsia="Arial" w:hAnsi="Arial" w:cs="Arial"/>
          <w:sz w:val="24"/>
          <w:szCs w:val="24"/>
        </w:rPr>
        <w:t xml:space="preserve"> estudaram 4 meninos e demonstraram ausência na produção de reativos do oxigênio pela técnica de redução do NBT em fagócitos. Os principais microrganismos responsáveis pelas infecções na DGC incluem o Bacilo de </w:t>
      </w:r>
      <w:proofErr w:type="spellStart"/>
      <w:r>
        <w:rPr>
          <w:rFonts w:ascii="Arial" w:eastAsia="Arial" w:hAnsi="Arial" w:cs="Arial"/>
          <w:sz w:val="24"/>
          <w:szCs w:val="24"/>
        </w:rPr>
        <w:t>Calm</w:t>
      </w:r>
      <w:r w:rsidR="00C778DA">
        <w:rPr>
          <w:rFonts w:ascii="Arial" w:eastAsia="Arial" w:hAnsi="Arial" w:cs="Arial"/>
          <w:sz w:val="24"/>
          <w:szCs w:val="24"/>
        </w:rPr>
        <w:t>ette-Guérin</w:t>
      </w:r>
      <w:proofErr w:type="spellEnd"/>
      <w:r>
        <w:rPr>
          <w:rFonts w:ascii="Arial" w:eastAsia="Arial" w:hAnsi="Arial" w:cs="Arial"/>
          <w:sz w:val="24"/>
          <w:szCs w:val="24"/>
        </w:rPr>
        <w:t xml:space="preserve">, </w:t>
      </w:r>
      <w:proofErr w:type="spellStart"/>
      <w:r>
        <w:rPr>
          <w:rFonts w:ascii="Arial" w:eastAsia="Arial" w:hAnsi="Arial" w:cs="Arial"/>
          <w:sz w:val="24"/>
          <w:szCs w:val="24"/>
        </w:rPr>
        <w:t>micobactérias</w:t>
      </w:r>
      <w:proofErr w:type="spellEnd"/>
      <w:r>
        <w:rPr>
          <w:rFonts w:ascii="Arial" w:eastAsia="Arial" w:hAnsi="Arial" w:cs="Arial"/>
          <w:sz w:val="24"/>
          <w:szCs w:val="24"/>
        </w:rPr>
        <w:t xml:space="preserve">, bactérias </w:t>
      </w:r>
      <w:proofErr w:type="spellStart"/>
      <w:r>
        <w:rPr>
          <w:rFonts w:ascii="Arial" w:eastAsia="Arial" w:hAnsi="Arial" w:cs="Arial"/>
          <w:sz w:val="24"/>
          <w:szCs w:val="24"/>
        </w:rPr>
        <w:lastRenderedPageBreak/>
        <w:t>catalase</w:t>
      </w:r>
      <w:proofErr w:type="spellEnd"/>
      <w:r>
        <w:rPr>
          <w:rFonts w:ascii="Arial" w:eastAsia="Arial" w:hAnsi="Arial" w:cs="Arial"/>
          <w:sz w:val="24"/>
          <w:szCs w:val="24"/>
        </w:rPr>
        <w:t>-positivas e fungos. A incidência da DGC é de aproximadamente 1:250.000 nascidos vivos, com padrão de herança ligado ao X (</w:t>
      </w:r>
      <w:r>
        <w:rPr>
          <w:rFonts w:ascii="Arial" w:eastAsia="Arial" w:hAnsi="Arial" w:cs="Arial"/>
          <w:i/>
          <w:sz w:val="24"/>
          <w:szCs w:val="24"/>
        </w:rPr>
        <w:t>CYBB</w:t>
      </w:r>
      <w:r>
        <w:rPr>
          <w:rFonts w:ascii="Arial" w:eastAsia="Arial" w:hAnsi="Arial" w:cs="Arial"/>
          <w:sz w:val="24"/>
          <w:szCs w:val="24"/>
        </w:rPr>
        <w:t>) ou autossômica recessiva (</w:t>
      </w:r>
      <w:r>
        <w:rPr>
          <w:rFonts w:ascii="Arial" w:eastAsia="Arial" w:hAnsi="Arial" w:cs="Arial"/>
          <w:i/>
          <w:sz w:val="24"/>
          <w:szCs w:val="24"/>
        </w:rPr>
        <w:t>CYBA</w:t>
      </w:r>
      <w:r>
        <w:rPr>
          <w:rFonts w:ascii="Arial" w:eastAsia="Arial" w:hAnsi="Arial" w:cs="Arial"/>
          <w:sz w:val="24"/>
          <w:szCs w:val="24"/>
        </w:rPr>
        <w:t xml:space="preserve">, </w:t>
      </w:r>
      <w:r>
        <w:rPr>
          <w:rFonts w:ascii="Arial" w:eastAsia="Arial" w:hAnsi="Arial" w:cs="Arial"/>
          <w:i/>
          <w:sz w:val="24"/>
          <w:szCs w:val="24"/>
        </w:rPr>
        <w:t>NCF1</w:t>
      </w:r>
      <w:r>
        <w:rPr>
          <w:rFonts w:ascii="Arial" w:eastAsia="Arial" w:hAnsi="Arial" w:cs="Arial"/>
          <w:sz w:val="24"/>
          <w:szCs w:val="24"/>
        </w:rPr>
        <w:t xml:space="preserve">, </w:t>
      </w:r>
      <w:r>
        <w:rPr>
          <w:rFonts w:ascii="Arial" w:eastAsia="Arial" w:hAnsi="Arial" w:cs="Arial"/>
          <w:i/>
          <w:sz w:val="24"/>
          <w:szCs w:val="24"/>
        </w:rPr>
        <w:t>NCF2</w:t>
      </w:r>
      <w:r>
        <w:rPr>
          <w:rFonts w:ascii="Arial" w:eastAsia="Arial" w:hAnsi="Arial" w:cs="Arial"/>
          <w:sz w:val="24"/>
          <w:szCs w:val="24"/>
        </w:rPr>
        <w:t xml:space="preserve"> ou </w:t>
      </w:r>
      <w:r>
        <w:rPr>
          <w:rFonts w:ascii="Arial" w:eastAsia="Arial" w:hAnsi="Arial" w:cs="Arial"/>
          <w:i/>
          <w:sz w:val="24"/>
          <w:szCs w:val="24"/>
        </w:rPr>
        <w:t>NCF4</w:t>
      </w:r>
      <w:r>
        <w:rPr>
          <w:rFonts w:ascii="Arial" w:eastAsia="Arial" w:hAnsi="Arial" w:cs="Arial"/>
          <w:sz w:val="24"/>
          <w:szCs w:val="24"/>
        </w:rPr>
        <w:t>). O diagnóstico é realizado c</w:t>
      </w:r>
      <w:r>
        <w:rPr>
          <w:rFonts w:ascii="Arial" w:eastAsia="Arial" w:hAnsi="Arial" w:cs="Arial"/>
          <w:sz w:val="24"/>
          <w:szCs w:val="24"/>
        </w:rPr>
        <w:t xml:space="preserve">om base na observação da falha de produção de reativos de oxigênio em células </w:t>
      </w:r>
      <w:proofErr w:type="spellStart"/>
      <w:r>
        <w:rPr>
          <w:rFonts w:ascii="Arial" w:eastAsia="Arial" w:hAnsi="Arial" w:cs="Arial"/>
          <w:sz w:val="24"/>
          <w:szCs w:val="24"/>
        </w:rPr>
        <w:t>fagocíticas</w:t>
      </w:r>
      <w:proofErr w:type="spellEnd"/>
      <w:r>
        <w:rPr>
          <w:rFonts w:ascii="Arial" w:eastAsia="Arial" w:hAnsi="Arial" w:cs="Arial"/>
          <w:sz w:val="24"/>
          <w:szCs w:val="24"/>
        </w:rPr>
        <w:t>, sendo comprovado pela identificação da mutação em genes do sistema. O teste do NBT e o teste do DHR são técnicas utilizadas na avaliação funcional do sistema NADPH e</w:t>
      </w:r>
      <w:r>
        <w:rPr>
          <w:rFonts w:ascii="Arial" w:eastAsia="Arial" w:hAnsi="Arial" w:cs="Arial"/>
          <w:sz w:val="24"/>
          <w:szCs w:val="24"/>
        </w:rPr>
        <w:t xml:space="preserve"> permitem a identificação tanto de pacientes quanto de mulheres portadoras da forma ligada ao X. O NBT é um teste qualitativo no qual as células </w:t>
      </w:r>
      <w:proofErr w:type="spellStart"/>
      <w:r>
        <w:rPr>
          <w:rFonts w:ascii="Arial" w:eastAsia="Arial" w:hAnsi="Arial" w:cs="Arial"/>
          <w:sz w:val="24"/>
          <w:szCs w:val="24"/>
        </w:rPr>
        <w:t>fagocíticas</w:t>
      </w:r>
      <w:proofErr w:type="spellEnd"/>
      <w:r>
        <w:rPr>
          <w:rFonts w:ascii="Arial" w:eastAsia="Arial" w:hAnsi="Arial" w:cs="Arial"/>
          <w:sz w:val="24"/>
          <w:szCs w:val="24"/>
        </w:rPr>
        <w:t xml:space="preserve"> estimuladas com </w:t>
      </w:r>
      <w:proofErr w:type="spellStart"/>
      <w:r>
        <w:rPr>
          <w:rFonts w:ascii="Arial" w:eastAsia="Arial" w:hAnsi="Arial" w:cs="Arial"/>
          <w:sz w:val="24"/>
          <w:szCs w:val="24"/>
        </w:rPr>
        <w:t>forbol</w:t>
      </w:r>
      <w:proofErr w:type="spellEnd"/>
      <w:r>
        <w:rPr>
          <w:rFonts w:ascii="Arial" w:eastAsia="Arial" w:hAnsi="Arial" w:cs="Arial"/>
          <w:sz w:val="24"/>
          <w:szCs w:val="24"/>
        </w:rPr>
        <w:t xml:space="preserve"> </w:t>
      </w:r>
      <w:proofErr w:type="spellStart"/>
      <w:r>
        <w:rPr>
          <w:rFonts w:ascii="Arial" w:eastAsia="Arial" w:hAnsi="Arial" w:cs="Arial"/>
          <w:sz w:val="24"/>
          <w:szCs w:val="24"/>
        </w:rPr>
        <w:t>miristato</w:t>
      </w:r>
      <w:proofErr w:type="spellEnd"/>
      <w:r>
        <w:rPr>
          <w:rFonts w:ascii="Arial" w:eastAsia="Arial" w:hAnsi="Arial" w:cs="Arial"/>
          <w:sz w:val="24"/>
          <w:szCs w:val="24"/>
        </w:rPr>
        <w:t xml:space="preserve"> acetato (PMA) devem produzir ânion superóxido que reduzir o corant</w:t>
      </w:r>
      <w:r>
        <w:rPr>
          <w:rFonts w:ascii="Arial" w:eastAsia="Arial" w:hAnsi="Arial" w:cs="Arial"/>
          <w:sz w:val="24"/>
          <w:szCs w:val="24"/>
        </w:rPr>
        <w:t>e NBT na forma de grânulos azulados no interior das células, o que pode ser visualizado em microscópio óptico. A redução de 5% ou menos do corante sugere o diagnóstico de DGC. Em mulheres portadoras da forma ligada ao X pode-se observar um grupo de células</w:t>
      </w:r>
      <w:r>
        <w:rPr>
          <w:rFonts w:ascii="Arial" w:eastAsia="Arial" w:hAnsi="Arial" w:cs="Arial"/>
          <w:sz w:val="24"/>
          <w:szCs w:val="24"/>
        </w:rPr>
        <w:t xml:space="preserve"> com redução do corante e outro grupo sem a redução. Já o DHR avalia a formação do H</w:t>
      </w:r>
      <w:r>
        <w:rPr>
          <w:rFonts w:ascii="Arial" w:eastAsia="Arial" w:hAnsi="Arial" w:cs="Arial"/>
          <w:sz w:val="24"/>
          <w:szCs w:val="24"/>
          <w:vertAlign w:val="subscript"/>
        </w:rPr>
        <w:t>2</w:t>
      </w:r>
      <w:r>
        <w:rPr>
          <w:rFonts w:ascii="Arial" w:eastAsia="Arial" w:hAnsi="Arial" w:cs="Arial"/>
          <w:sz w:val="24"/>
          <w:szCs w:val="24"/>
        </w:rPr>
        <w:t>O</w:t>
      </w:r>
      <w:r>
        <w:rPr>
          <w:rFonts w:ascii="Arial" w:eastAsia="Arial" w:hAnsi="Arial" w:cs="Arial"/>
          <w:sz w:val="24"/>
          <w:szCs w:val="24"/>
          <w:vertAlign w:val="subscript"/>
        </w:rPr>
        <w:t>2</w:t>
      </w:r>
      <w:r>
        <w:rPr>
          <w:rFonts w:ascii="Arial" w:eastAsia="Arial" w:hAnsi="Arial" w:cs="Arial"/>
          <w:sz w:val="24"/>
          <w:szCs w:val="24"/>
        </w:rPr>
        <w:t xml:space="preserve"> após o estímulo das células com PMA. O contato do H</w:t>
      </w:r>
      <w:r>
        <w:rPr>
          <w:rFonts w:ascii="Arial" w:eastAsia="Arial" w:hAnsi="Arial" w:cs="Arial"/>
          <w:sz w:val="24"/>
          <w:szCs w:val="24"/>
          <w:vertAlign w:val="subscript"/>
        </w:rPr>
        <w:t>2</w:t>
      </w:r>
      <w:r>
        <w:rPr>
          <w:rFonts w:ascii="Arial" w:eastAsia="Arial" w:hAnsi="Arial" w:cs="Arial"/>
          <w:sz w:val="24"/>
          <w:szCs w:val="24"/>
        </w:rPr>
        <w:t>O</w:t>
      </w:r>
      <w:r>
        <w:rPr>
          <w:rFonts w:ascii="Arial" w:eastAsia="Arial" w:hAnsi="Arial" w:cs="Arial"/>
          <w:sz w:val="24"/>
          <w:szCs w:val="24"/>
          <w:vertAlign w:val="subscript"/>
        </w:rPr>
        <w:t>2</w:t>
      </w:r>
      <w:r>
        <w:rPr>
          <w:rFonts w:ascii="Arial" w:eastAsia="Arial" w:hAnsi="Arial" w:cs="Arial"/>
          <w:sz w:val="24"/>
          <w:szCs w:val="24"/>
        </w:rPr>
        <w:t xml:space="preserve"> com o DHR emite fluorescência, que é então quantificada por </w:t>
      </w:r>
      <w:proofErr w:type="spellStart"/>
      <w:r>
        <w:rPr>
          <w:rFonts w:ascii="Arial" w:eastAsia="Arial" w:hAnsi="Arial" w:cs="Arial"/>
          <w:sz w:val="24"/>
          <w:szCs w:val="24"/>
        </w:rPr>
        <w:t>citometria</w:t>
      </w:r>
      <w:proofErr w:type="spellEnd"/>
      <w:r>
        <w:rPr>
          <w:rFonts w:ascii="Arial" w:eastAsia="Arial" w:hAnsi="Arial" w:cs="Arial"/>
          <w:sz w:val="24"/>
          <w:szCs w:val="24"/>
        </w:rPr>
        <w:t xml:space="preserve"> de fluxo. Os resultados são expressos em curvas de acordo com a intensidade média de fluorescência (MFI) emitida pelo conjunto de células, em escala logarítmica. Visto que a fluorescên</w:t>
      </w:r>
      <w:r>
        <w:rPr>
          <w:rFonts w:ascii="Arial" w:eastAsia="Arial" w:hAnsi="Arial" w:cs="Arial"/>
          <w:sz w:val="24"/>
          <w:szCs w:val="24"/>
        </w:rPr>
        <w:t xml:space="preserve">cia cresce temporalmente, há deslocamento da curva para maior intensidade de fluorescência em indivíduos normais. Caso contrário, não haverá deslocamento da curva, determinando diagnóstico de DGC. Em se tratamento de mulher portadora </w:t>
      </w:r>
      <w:proofErr w:type="gramStart"/>
      <w:r>
        <w:rPr>
          <w:rFonts w:ascii="Arial" w:eastAsia="Arial" w:hAnsi="Arial" w:cs="Arial"/>
          <w:sz w:val="24"/>
          <w:szCs w:val="24"/>
        </w:rPr>
        <w:t>observa-se</w:t>
      </w:r>
      <w:proofErr w:type="gramEnd"/>
      <w:r>
        <w:rPr>
          <w:rFonts w:ascii="Arial" w:eastAsia="Arial" w:hAnsi="Arial" w:cs="Arial"/>
          <w:sz w:val="24"/>
          <w:szCs w:val="24"/>
        </w:rPr>
        <w:t xml:space="preserve"> uma curva c</w:t>
      </w:r>
      <w:r>
        <w:rPr>
          <w:rFonts w:ascii="Arial" w:eastAsia="Arial" w:hAnsi="Arial" w:cs="Arial"/>
          <w:sz w:val="24"/>
          <w:szCs w:val="24"/>
        </w:rPr>
        <w:t>om dois picos, um deles correspondendo ao grupo de células normais e outro ao grupo de células com a mutação. O presente trabalho tem como objetivo apresentar os resultados dos testes NBT e DHR para o diagnóstico de DGC. Foi avaliado um paciente do sexo ma</w:t>
      </w:r>
      <w:r>
        <w:rPr>
          <w:rFonts w:ascii="Arial" w:eastAsia="Arial" w:hAnsi="Arial" w:cs="Arial"/>
          <w:sz w:val="24"/>
          <w:szCs w:val="24"/>
        </w:rPr>
        <w:t>sculino, quatro meses de vida, com histórico de duas pneumonias graves neste período. No histórico familiar um irmão foi a óbito aos 45 dias de vida, por pneumonia. Foi realizado o teste NBT, onde verificou-se ausência da redução do corante NBT nas células</w:t>
      </w:r>
      <w:r>
        <w:rPr>
          <w:rFonts w:ascii="Arial" w:eastAsia="Arial" w:hAnsi="Arial" w:cs="Arial"/>
          <w:sz w:val="24"/>
          <w:szCs w:val="24"/>
        </w:rPr>
        <w:t xml:space="preserve"> do paciente aderidas à lâmina após estímulo de 30 minutos com PMA</w:t>
      </w:r>
      <w:r w:rsidR="00C778DA">
        <w:rPr>
          <w:rFonts w:ascii="Arial" w:eastAsia="Arial" w:hAnsi="Arial" w:cs="Arial"/>
          <w:sz w:val="24"/>
          <w:szCs w:val="24"/>
        </w:rPr>
        <w:t xml:space="preserve"> a 40ng/ml</w:t>
      </w:r>
      <w:r>
        <w:rPr>
          <w:rFonts w:ascii="Arial" w:eastAsia="Arial" w:hAnsi="Arial" w:cs="Arial"/>
          <w:sz w:val="24"/>
          <w:szCs w:val="24"/>
        </w:rPr>
        <w:t xml:space="preserve">. Para </w:t>
      </w:r>
      <w:r w:rsidR="00C778DA">
        <w:rPr>
          <w:rFonts w:ascii="Arial" w:eastAsia="Arial" w:hAnsi="Arial" w:cs="Arial"/>
          <w:sz w:val="24"/>
          <w:szCs w:val="24"/>
        </w:rPr>
        <w:t>a</w:t>
      </w:r>
      <w:r>
        <w:rPr>
          <w:rFonts w:ascii="Arial" w:eastAsia="Arial" w:hAnsi="Arial" w:cs="Arial"/>
          <w:sz w:val="24"/>
          <w:szCs w:val="24"/>
        </w:rPr>
        <w:t xml:space="preserve"> mãe deste menino, as células apresentavam-se em padrão de portadora. O teste do DHR revelou ausência da emissão de fluorescência por monócitos e neutrófilos, após 30 minutos</w:t>
      </w:r>
      <w:r>
        <w:rPr>
          <w:rFonts w:ascii="Arial" w:eastAsia="Arial" w:hAnsi="Arial" w:cs="Arial"/>
          <w:sz w:val="24"/>
          <w:szCs w:val="24"/>
        </w:rPr>
        <w:t xml:space="preserve"> de estímulo com PMA </w:t>
      </w:r>
      <w:r w:rsidR="00C778DA">
        <w:rPr>
          <w:rFonts w:ascii="Arial" w:eastAsia="Arial" w:hAnsi="Arial" w:cs="Arial"/>
          <w:sz w:val="24"/>
          <w:szCs w:val="24"/>
        </w:rPr>
        <w:t>a 90nM</w:t>
      </w:r>
      <w:r>
        <w:rPr>
          <w:rFonts w:ascii="Arial" w:eastAsia="Arial" w:hAnsi="Arial" w:cs="Arial"/>
          <w:sz w:val="24"/>
          <w:szCs w:val="24"/>
        </w:rPr>
        <w:t xml:space="preserve">. Da mesma forma que no teste do NBT, para a mãe deste menino foram observados dois padrões de resposta ao PMA, sendo uma população de células com emissão de fluorescência em níveis semelhantes ao controle normal, e </w:t>
      </w:r>
      <w:r>
        <w:rPr>
          <w:rFonts w:ascii="Arial" w:eastAsia="Arial" w:hAnsi="Arial" w:cs="Arial"/>
          <w:sz w:val="24"/>
          <w:szCs w:val="24"/>
        </w:rPr>
        <w:lastRenderedPageBreak/>
        <w:t>outra população</w:t>
      </w:r>
      <w:r>
        <w:rPr>
          <w:rFonts w:ascii="Arial" w:eastAsia="Arial" w:hAnsi="Arial" w:cs="Arial"/>
          <w:sz w:val="24"/>
          <w:szCs w:val="24"/>
        </w:rPr>
        <w:t xml:space="preserve"> de células sem resposta ao estímulo. Assim, além de estabelecer o diagnóstico funcional de DGC para o paciente, determinamos que a mãe é portadora da mutação em um dos seus cromossomos X, determinando também o padrão de transmissão da doença. Embora o tes</w:t>
      </w:r>
      <w:r>
        <w:rPr>
          <w:rFonts w:ascii="Arial" w:eastAsia="Arial" w:hAnsi="Arial" w:cs="Arial"/>
          <w:sz w:val="24"/>
          <w:szCs w:val="24"/>
        </w:rPr>
        <w:t xml:space="preserve">te do DHR possa ser considerado mais objetivo e </w:t>
      </w:r>
      <w:r>
        <w:rPr>
          <w:rFonts w:ascii="Arial" w:eastAsia="Arial" w:hAnsi="Arial" w:cs="Arial"/>
          <w:sz w:val="24"/>
          <w:szCs w:val="24"/>
        </w:rPr>
        <w:t>qualitativo</w:t>
      </w:r>
      <w:r>
        <w:rPr>
          <w:rFonts w:ascii="Arial" w:eastAsia="Arial" w:hAnsi="Arial" w:cs="Arial"/>
          <w:sz w:val="24"/>
          <w:szCs w:val="24"/>
        </w:rPr>
        <w:t xml:space="preserve"> do que o NBT, e permita o diagnóstico de formas variantes de DGC, ele requer investimento em equipamentos sofisticados e equipe com treinamento técnico para </w:t>
      </w:r>
      <w:proofErr w:type="spellStart"/>
      <w:r>
        <w:rPr>
          <w:rFonts w:ascii="Arial" w:eastAsia="Arial" w:hAnsi="Arial" w:cs="Arial"/>
          <w:sz w:val="24"/>
          <w:szCs w:val="24"/>
        </w:rPr>
        <w:t>citometria</w:t>
      </w:r>
      <w:proofErr w:type="spellEnd"/>
      <w:r>
        <w:rPr>
          <w:rFonts w:ascii="Arial" w:eastAsia="Arial" w:hAnsi="Arial" w:cs="Arial"/>
          <w:sz w:val="24"/>
          <w:szCs w:val="24"/>
        </w:rPr>
        <w:t xml:space="preserve"> de fluxo. O NBT está sujeito</w:t>
      </w:r>
      <w:r>
        <w:rPr>
          <w:rFonts w:ascii="Arial" w:eastAsia="Arial" w:hAnsi="Arial" w:cs="Arial"/>
          <w:sz w:val="24"/>
          <w:szCs w:val="24"/>
        </w:rPr>
        <w:t xml:space="preserve"> à adesão das células na lâmina e subjetividade do observador ao microscópio. Porém, é um método simples, de baixo custo e para o qual não é necessário investimento em equipamentos e reagentes sofisticados. Conforme observado na literatura e no caso aqui d</w:t>
      </w:r>
      <w:r>
        <w:rPr>
          <w:rFonts w:ascii="Arial" w:eastAsia="Arial" w:hAnsi="Arial" w:cs="Arial"/>
          <w:sz w:val="24"/>
          <w:szCs w:val="24"/>
        </w:rPr>
        <w:t xml:space="preserve">escrito o NBT é um método eficaz para o diagnóstico de DGC e por suas características permitiria a implantação em centros economicamente menos favorecidos, oferecendo a oportunidade de disseminação do diagnóstico para crianças com quadro clínico sugestivo </w:t>
      </w:r>
      <w:r>
        <w:rPr>
          <w:rFonts w:ascii="Arial" w:eastAsia="Arial" w:hAnsi="Arial" w:cs="Arial"/>
          <w:sz w:val="24"/>
          <w:szCs w:val="24"/>
        </w:rPr>
        <w:t>de DGC e seus familiares.</w:t>
      </w:r>
    </w:p>
    <w:p w:rsidR="006176B9" w:rsidRDefault="006176B9">
      <w:pPr>
        <w:spacing w:after="0" w:line="240" w:lineRule="auto"/>
        <w:jc w:val="both"/>
      </w:pPr>
    </w:p>
    <w:p w:rsidR="006176B9" w:rsidRDefault="00674A6F">
      <w:pPr>
        <w:spacing w:after="0" w:line="240" w:lineRule="auto"/>
      </w:pPr>
      <w:r>
        <w:rPr>
          <w:rFonts w:ascii="Arial" w:eastAsia="Arial" w:hAnsi="Arial" w:cs="Arial"/>
          <w:b/>
          <w:sz w:val="24"/>
          <w:szCs w:val="24"/>
        </w:rPr>
        <w:t>Palavras-chave:</w:t>
      </w:r>
      <w:r>
        <w:rPr>
          <w:rFonts w:ascii="Arial" w:eastAsia="Arial" w:hAnsi="Arial" w:cs="Arial"/>
          <w:sz w:val="24"/>
          <w:szCs w:val="24"/>
        </w:rPr>
        <w:t xml:space="preserve"> Doença </w:t>
      </w:r>
      <w:r>
        <w:rPr>
          <w:rFonts w:ascii="Arial" w:eastAsia="Arial" w:hAnsi="Arial" w:cs="Arial"/>
          <w:sz w:val="24"/>
          <w:szCs w:val="24"/>
        </w:rPr>
        <w:tab/>
      </w:r>
      <w:proofErr w:type="spellStart"/>
      <w:r>
        <w:rPr>
          <w:rFonts w:ascii="Arial" w:eastAsia="Arial" w:hAnsi="Arial" w:cs="Arial"/>
          <w:sz w:val="24"/>
          <w:szCs w:val="24"/>
        </w:rPr>
        <w:t>Granulomatosa</w:t>
      </w:r>
      <w:proofErr w:type="spellEnd"/>
      <w:r>
        <w:rPr>
          <w:rFonts w:ascii="Arial" w:eastAsia="Arial" w:hAnsi="Arial" w:cs="Arial"/>
          <w:sz w:val="24"/>
          <w:szCs w:val="24"/>
        </w:rPr>
        <w:t xml:space="preserve"> Crônica; </w:t>
      </w:r>
      <w:proofErr w:type="spellStart"/>
      <w:r>
        <w:rPr>
          <w:rFonts w:ascii="Arial" w:eastAsia="Arial" w:hAnsi="Arial" w:cs="Arial"/>
          <w:sz w:val="24"/>
          <w:szCs w:val="24"/>
        </w:rPr>
        <w:t>Nitroblue</w:t>
      </w:r>
      <w:proofErr w:type="spellEnd"/>
      <w:r>
        <w:rPr>
          <w:rFonts w:ascii="Arial" w:eastAsia="Arial" w:hAnsi="Arial" w:cs="Arial"/>
          <w:sz w:val="24"/>
          <w:szCs w:val="24"/>
        </w:rPr>
        <w:t xml:space="preserve"> </w:t>
      </w:r>
      <w:proofErr w:type="spellStart"/>
      <w:r>
        <w:rPr>
          <w:rFonts w:ascii="Arial" w:eastAsia="Arial" w:hAnsi="Arial" w:cs="Arial"/>
          <w:sz w:val="24"/>
          <w:szCs w:val="24"/>
        </w:rPr>
        <w:t>Tetrazolium</w:t>
      </w:r>
      <w:proofErr w:type="spellEnd"/>
      <w:r>
        <w:rPr>
          <w:rFonts w:ascii="Arial" w:eastAsia="Arial" w:hAnsi="Arial" w:cs="Arial"/>
          <w:sz w:val="24"/>
          <w:szCs w:val="24"/>
        </w:rPr>
        <w:t xml:space="preserve">; </w:t>
      </w:r>
      <w:proofErr w:type="spellStart"/>
      <w:r>
        <w:rPr>
          <w:rFonts w:ascii="Arial" w:eastAsia="Arial" w:hAnsi="Arial" w:cs="Arial"/>
          <w:sz w:val="24"/>
          <w:szCs w:val="24"/>
        </w:rPr>
        <w:t>Dihidrorodamina</w:t>
      </w:r>
      <w:proofErr w:type="spellEnd"/>
      <w:r>
        <w:rPr>
          <w:rFonts w:ascii="Arial" w:eastAsia="Arial" w:hAnsi="Arial" w:cs="Arial"/>
          <w:sz w:val="24"/>
          <w:szCs w:val="24"/>
        </w:rPr>
        <w:t xml:space="preserve"> 123.</w:t>
      </w:r>
    </w:p>
    <w:bookmarkEnd w:id="2"/>
    <w:p w:rsidR="006176B9" w:rsidRDefault="006176B9">
      <w:pPr>
        <w:spacing w:after="0" w:line="240" w:lineRule="auto"/>
        <w:jc w:val="both"/>
      </w:pPr>
    </w:p>
    <w:p w:rsidR="006176B9" w:rsidRDefault="006176B9">
      <w:pPr>
        <w:spacing w:line="240" w:lineRule="auto"/>
        <w:jc w:val="center"/>
      </w:pPr>
    </w:p>
    <w:p w:rsidR="006176B9" w:rsidRDefault="006176B9">
      <w:pPr>
        <w:spacing w:line="240" w:lineRule="auto"/>
        <w:jc w:val="center"/>
      </w:pPr>
    </w:p>
    <w:p w:rsidR="006176B9" w:rsidRDefault="00674A6F">
      <w:pPr>
        <w:spacing w:line="240" w:lineRule="auto"/>
        <w:jc w:val="center"/>
      </w:pPr>
      <w:r>
        <w:rPr>
          <w:rFonts w:ascii="Arial" w:eastAsia="Arial" w:hAnsi="Arial" w:cs="Arial"/>
          <w:b/>
          <w:sz w:val="24"/>
          <w:szCs w:val="24"/>
        </w:rPr>
        <w:t>REFERÊNCIAS</w:t>
      </w:r>
    </w:p>
    <w:p w:rsidR="006176B9" w:rsidRDefault="006176B9">
      <w:pPr>
        <w:spacing w:after="0" w:line="240" w:lineRule="auto"/>
        <w:jc w:val="both"/>
      </w:pPr>
    </w:p>
    <w:p w:rsidR="006176B9" w:rsidRDefault="006176B9">
      <w:pPr>
        <w:spacing w:after="0" w:line="240" w:lineRule="auto"/>
        <w:jc w:val="both"/>
      </w:pPr>
    </w:p>
    <w:p w:rsidR="006176B9" w:rsidRDefault="00674A6F">
      <w:pPr>
        <w:spacing w:before="280" w:after="280" w:line="240" w:lineRule="auto"/>
      </w:pPr>
      <w:r>
        <w:rPr>
          <w:rFonts w:ascii="Arial" w:eastAsia="Arial" w:hAnsi="Arial" w:cs="Arial"/>
          <w:sz w:val="24"/>
          <w:szCs w:val="24"/>
        </w:rPr>
        <w:t xml:space="preserve">CONLEY, M.E., NOTARANGELO, LD, </w:t>
      </w:r>
      <w:proofErr w:type="spellStart"/>
      <w:r>
        <w:rPr>
          <w:rFonts w:ascii="Arial" w:eastAsia="Arial" w:hAnsi="Arial" w:cs="Arial"/>
          <w:sz w:val="24"/>
          <w:szCs w:val="24"/>
        </w:rPr>
        <w:t>Diagnostic</w:t>
      </w:r>
      <w:proofErr w:type="spellEnd"/>
      <w:r>
        <w:rPr>
          <w:rFonts w:ascii="Arial" w:eastAsia="Arial" w:hAnsi="Arial" w:cs="Arial"/>
          <w:sz w:val="24"/>
          <w:szCs w:val="24"/>
        </w:rPr>
        <w:t xml:space="preserve"> </w:t>
      </w:r>
      <w:proofErr w:type="spellStart"/>
      <w:r>
        <w:rPr>
          <w:rFonts w:ascii="Arial" w:eastAsia="Arial" w:hAnsi="Arial" w:cs="Arial"/>
          <w:sz w:val="24"/>
          <w:szCs w:val="24"/>
        </w:rPr>
        <w:t>criteria</w:t>
      </w:r>
      <w:proofErr w:type="spellEnd"/>
      <w:r>
        <w:rPr>
          <w:rFonts w:ascii="Arial" w:eastAsia="Arial" w:hAnsi="Arial" w:cs="Arial"/>
          <w:sz w:val="24"/>
          <w:szCs w:val="24"/>
        </w:rPr>
        <w:t xml:space="preserve"> for </w:t>
      </w:r>
      <w:proofErr w:type="spellStart"/>
      <w:r>
        <w:rPr>
          <w:rFonts w:ascii="Arial" w:eastAsia="Arial" w:hAnsi="Arial" w:cs="Arial"/>
          <w:sz w:val="24"/>
          <w:szCs w:val="24"/>
        </w:rPr>
        <w:t>primary</w:t>
      </w:r>
      <w:proofErr w:type="spellEnd"/>
      <w:r>
        <w:rPr>
          <w:rFonts w:ascii="Arial" w:eastAsia="Arial" w:hAnsi="Arial" w:cs="Arial"/>
          <w:sz w:val="24"/>
          <w:szCs w:val="24"/>
        </w:rPr>
        <w:t xml:space="preserve"> </w:t>
      </w:r>
      <w:proofErr w:type="spellStart"/>
      <w:r>
        <w:rPr>
          <w:rFonts w:ascii="Arial" w:eastAsia="Arial" w:hAnsi="Arial" w:cs="Arial"/>
          <w:sz w:val="24"/>
          <w:szCs w:val="24"/>
        </w:rPr>
        <w:t>immunodeficiencies</w:t>
      </w:r>
      <w:proofErr w:type="spellEnd"/>
      <w:r>
        <w:rPr>
          <w:rFonts w:ascii="Arial" w:eastAsia="Arial" w:hAnsi="Arial" w:cs="Arial"/>
          <w:sz w:val="24"/>
          <w:szCs w:val="24"/>
        </w:rPr>
        <w:t xml:space="preserve">. </w:t>
      </w:r>
      <w:proofErr w:type="spellStart"/>
      <w:r>
        <w:rPr>
          <w:rFonts w:ascii="Arial" w:eastAsia="Arial" w:hAnsi="Arial" w:cs="Arial"/>
          <w:sz w:val="24"/>
          <w:szCs w:val="24"/>
        </w:rPr>
        <w:t>Representing</w:t>
      </w:r>
      <w:proofErr w:type="spellEnd"/>
      <w:r>
        <w:rPr>
          <w:rFonts w:ascii="Arial" w:eastAsia="Arial" w:hAnsi="Arial" w:cs="Arial"/>
          <w:sz w:val="24"/>
          <w:szCs w:val="24"/>
        </w:rPr>
        <w:t xml:space="preserve"> PAGID (</w:t>
      </w:r>
      <w:proofErr w:type="spellStart"/>
      <w:r>
        <w:rPr>
          <w:rFonts w:ascii="Arial" w:eastAsia="Arial" w:hAnsi="Arial" w:cs="Arial"/>
          <w:sz w:val="24"/>
          <w:szCs w:val="24"/>
        </w:rPr>
        <w:t>Pan-American</w:t>
      </w:r>
      <w:proofErr w:type="spellEnd"/>
      <w:r>
        <w:rPr>
          <w:rFonts w:ascii="Arial" w:eastAsia="Arial" w:hAnsi="Arial" w:cs="Arial"/>
          <w:sz w:val="24"/>
          <w:szCs w:val="24"/>
        </w:rPr>
        <w:t xml:space="preserve"> </w:t>
      </w:r>
      <w:proofErr w:type="spellStart"/>
      <w:r>
        <w:rPr>
          <w:rFonts w:ascii="Arial" w:eastAsia="Arial" w:hAnsi="Arial" w:cs="Arial"/>
          <w:sz w:val="24"/>
          <w:szCs w:val="24"/>
        </w:rPr>
        <w:t>Group</w:t>
      </w:r>
      <w:proofErr w:type="spellEnd"/>
      <w:r>
        <w:rPr>
          <w:rFonts w:ascii="Arial" w:eastAsia="Arial" w:hAnsi="Arial" w:cs="Arial"/>
          <w:sz w:val="24"/>
          <w:szCs w:val="24"/>
        </w:rPr>
        <w:t xml:space="preserve"> for </w:t>
      </w:r>
      <w:proofErr w:type="spellStart"/>
      <w:r>
        <w:rPr>
          <w:rFonts w:ascii="Arial" w:eastAsia="Arial" w:hAnsi="Arial" w:cs="Arial"/>
          <w:sz w:val="24"/>
          <w:szCs w:val="24"/>
        </w:rPr>
        <w:t>Immunodeficiency</w:t>
      </w:r>
      <w:proofErr w:type="spellEnd"/>
      <w:r>
        <w:rPr>
          <w:rFonts w:ascii="Arial" w:eastAsia="Arial" w:hAnsi="Arial" w:cs="Arial"/>
          <w:sz w:val="24"/>
          <w:szCs w:val="24"/>
        </w:rPr>
        <w:t xml:space="preserve">) </w:t>
      </w:r>
      <w:proofErr w:type="spellStart"/>
      <w:r>
        <w:rPr>
          <w:rFonts w:ascii="Arial" w:eastAsia="Arial" w:hAnsi="Arial" w:cs="Arial"/>
          <w:sz w:val="24"/>
          <w:szCs w:val="24"/>
        </w:rPr>
        <w:t>and</w:t>
      </w:r>
      <w:proofErr w:type="spellEnd"/>
      <w:r>
        <w:rPr>
          <w:rFonts w:ascii="Arial" w:eastAsia="Arial" w:hAnsi="Arial" w:cs="Arial"/>
          <w:sz w:val="24"/>
          <w:szCs w:val="24"/>
        </w:rPr>
        <w:t xml:space="preserve"> ESID (</w:t>
      </w:r>
      <w:proofErr w:type="spellStart"/>
      <w:r>
        <w:rPr>
          <w:rFonts w:ascii="Arial" w:eastAsia="Arial" w:hAnsi="Arial" w:cs="Arial"/>
          <w:sz w:val="24"/>
          <w:szCs w:val="24"/>
        </w:rPr>
        <w:t>European</w:t>
      </w:r>
      <w:proofErr w:type="spellEnd"/>
      <w:r>
        <w:rPr>
          <w:rFonts w:ascii="Arial" w:eastAsia="Arial" w:hAnsi="Arial" w:cs="Arial"/>
          <w:sz w:val="24"/>
          <w:szCs w:val="24"/>
        </w:rPr>
        <w:t xml:space="preserve"> </w:t>
      </w:r>
      <w:proofErr w:type="spellStart"/>
      <w:r>
        <w:rPr>
          <w:rFonts w:ascii="Arial" w:eastAsia="Arial" w:hAnsi="Arial" w:cs="Arial"/>
          <w:sz w:val="24"/>
          <w:szCs w:val="24"/>
        </w:rPr>
        <w:t>Society</w:t>
      </w:r>
      <w:proofErr w:type="spellEnd"/>
      <w:r>
        <w:rPr>
          <w:rFonts w:ascii="Arial" w:eastAsia="Arial" w:hAnsi="Arial" w:cs="Arial"/>
          <w:sz w:val="24"/>
          <w:szCs w:val="24"/>
        </w:rPr>
        <w:t xml:space="preserve"> for </w:t>
      </w:r>
      <w:proofErr w:type="spellStart"/>
      <w:r>
        <w:rPr>
          <w:rFonts w:ascii="Arial" w:eastAsia="Arial" w:hAnsi="Arial" w:cs="Arial"/>
          <w:sz w:val="24"/>
          <w:szCs w:val="24"/>
        </w:rPr>
        <w:t>Immunodeficiencies</w:t>
      </w:r>
      <w:proofErr w:type="spellEnd"/>
      <w:r>
        <w:rPr>
          <w:rFonts w:ascii="Arial" w:eastAsia="Arial" w:hAnsi="Arial" w:cs="Arial"/>
          <w:sz w:val="24"/>
          <w:szCs w:val="24"/>
        </w:rPr>
        <w:t xml:space="preserve">). </w:t>
      </w:r>
      <w:proofErr w:type="spellStart"/>
      <w:r>
        <w:rPr>
          <w:rFonts w:ascii="Arial" w:eastAsia="Arial" w:hAnsi="Arial" w:cs="Arial"/>
          <w:i/>
          <w:sz w:val="24"/>
          <w:szCs w:val="24"/>
        </w:rPr>
        <w:t>Clin</w:t>
      </w:r>
      <w:proofErr w:type="spellEnd"/>
      <w:r>
        <w:rPr>
          <w:rFonts w:ascii="Arial" w:eastAsia="Arial" w:hAnsi="Arial" w:cs="Arial"/>
          <w:i/>
          <w:sz w:val="24"/>
          <w:szCs w:val="24"/>
        </w:rPr>
        <w:t xml:space="preserve">. </w:t>
      </w:r>
      <w:proofErr w:type="spellStart"/>
      <w:proofErr w:type="gramStart"/>
      <w:r>
        <w:rPr>
          <w:rFonts w:ascii="Arial" w:eastAsia="Arial" w:hAnsi="Arial" w:cs="Arial"/>
          <w:i/>
          <w:sz w:val="24"/>
          <w:szCs w:val="24"/>
        </w:rPr>
        <w:t>Immunol</w:t>
      </w:r>
      <w:proofErr w:type="spellEnd"/>
      <w:r>
        <w:rPr>
          <w:rFonts w:ascii="Arial" w:eastAsia="Arial" w:hAnsi="Arial" w:cs="Arial"/>
          <w:i/>
          <w:sz w:val="24"/>
          <w:szCs w:val="24"/>
        </w:rPr>
        <w:t>.,</w:t>
      </w:r>
      <w:proofErr w:type="gramEnd"/>
      <w:r>
        <w:rPr>
          <w:rFonts w:ascii="Arial" w:eastAsia="Arial" w:hAnsi="Arial" w:cs="Arial"/>
          <w:i/>
          <w:sz w:val="24"/>
          <w:szCs w:val="24"/>
        </w:rPr>
        <w:t xml:space="preserve"> </w:t>
      </w:r>
      <w:r>
        <w:rPr>
          <w:rFonts w:ascii="Arial" w:eastAsia="Arial" w:hAnsi="Arial" w:cs="Arial"/>
          <w:sz w:val="24"/>
          <w:szCs w:val="24"/>
        </w:rPr>
        <w:t>v.93, n.1, p.190-197, 1999.</w:t>
      </w:r>
    </w:p>
    <w:p w:rsidR="006176B9" w:rsidRDefault="00674A6F">
      <w:pPr>
        <w:spacing w:after="0" w:line="240" w:lineRule="auto"/>
        <w:jc w:val="both"/>
      </w:pPr>
      <w:r>
        <w:rPr>
          <w:rFonts w:ascii="Arial" w:eastAsia="Arial" w:hAnsi="Arial" w:cs="Arial"/>
          <w:sz w:val="24"/>
          <w:szCs w:val="24"/>
        </w:rPr>
        <w:t xml:space="preserve">OCHS, I.R. </w:t>
      </w:r>
      <w:r>
        <w:rPr>
          <w:rFonts w:ascii="Arial" w:eastAsia="Arial" w:hAnsi="Arial" w:cs="Arial"/>
          <w:i/>
          <w:sz w:val="24"/>
          <w:szCs w:val="24"/>
        </w:rPr>
        <w:t>The N</w:t>
      </w:r>
      <w:r>
        <w:rPr>
          <w:rFonts w:ascii="Arial" w:eastAsia="Arial" w:hAnsi="Arial" w:cs="Arial"/>
          <w:i/>
          <w:sz w:val="24"/>
          <w:szCs w:val="24"/>
        </w:rPr>
        <w:t xml:space="preserve">BT slide </w:t>
      </w:r>
      <w:proofErr w:type="spellStart"/>
      <w:r>
        <w:rPr>
          <w:rFonts w:ascii="Arial" w:eastAsia="Arial" w:hAnsi="Arial" w:cs="Arial"/>
          <w:i/>
          <w:sz w:val="24"/>
          <w:szCs w:val="24"/>
        </w:rPr>
        <w:t>test</w:t>
      </w:r>
      <w:proofErr w:type="spellEnd"/>
      <w:r>
        <w:rPr>
          <w:rFonts w:ascii="Arial" w:eastAsia="Arial" w:hAnsi="Arial" w:cs="Arial"/>
          <w:i/>
          <w:sz w:val="24"/>
          <w:szCs w:val="24"/>
        </w:rPr>
        <w:t xml:space="preserve">: a </w:t>
      </w:r>
      <w:proofErr w:type="spellStart"/>
      <w:r>
        <w:rPr>
          <w:rFonts w:ascii="Arial" w:eastAsia="Arial" w:hAnsi="Arial" w:cs="Arial"/>
          <w:i/>
          <w:sz w:val="24"/>
          <w:szCs w:val="24"/>
        </w:rPr>
        <w:t>simple</w:t>
      </w:r>
      <w:proofErr w:type="spellEnd"/>
      <w:r>
        <w:rPr>
          <w:rFonts w:ascii="Arial" w:eastAsia="Arial" w:hAnsi="Arial" w:cs="Arial"/>
          <w:i/>
          <w:sz w:val="24"/>
          <w:szCs w:val="24"/>
        </w:rPr>
        <w:t xml:space="preserve"> </w:t>
      </w:r>
      <w:proofErr w:type="spellStart"/>
      <w:r>
        <w:rPr>
          <w:rFonts w:ascii="Arial" w:eastAsia="Arial" w:hAnsi="Arial" w:cs="Arial"/>
          <w:i/>
          <w:sz w:val="24"/>
          <w:szCs w:val="24"/>
        </w:rPr>
        <w:t>screening</w:t>
      </w:r>
      <w:proofErr w:type="spellEnd"/>
      <w:r>
        <w:rPr>
          <w:rFonts w:ascii="Arial" w:eastAsia="Arial" w:hAnsi="Arial" w:cs="Arial"/>
          <w:i/>
          <w:sz w:val="24"/>
          <w:szCs w:val="24"/>
        </w:rPr>
        <w:t xml:space="preserve"> </w:t>
      </w:r>
      <w:proofErr w:type="spellStart"/>
      <w:r>
        <w:rPr>
          <w:rFonts w:ascii="Arial" w:eastAsia="Arial" w:hAnsi="Arial" w:cs="Arial"/>
          <w:i/>
          <w:sz w:val="24"/>
          <w:szCs w:val="24"/>
        </w:rPr>
        <w:t>method</w:t>
      </w:r>
      <w:proofErr w:type="spellEnd"/>
      <w:r>
        <w:rPr>
          <w:rFonts w:ascii="Arial" w:eastAsia="Arial" w:hAnsi="Arial" w:cs="Arial"/>
          <w:i/>
          <w:sz w:val="24"/>
          <w:szCs w:val="24"/>
        </w:rPr>
        <w:t xml:space="preserve"> for </w:t>
      </w:r>
      <w:proofErr w:type="spellStart"/>
      <w:r>
        <w:rPr>
          <w:rFonts w:ascii="Arial" w:eastAsia="Arial" w:hAnsi="Arial" w:cs="Arial"/>
          <w:i/>
          <w:sz w:val="24"/>
          <w:szCs w:val="24"/>
        </w:rPr>
        <w:t>detecting</w:t>
      </w:r>
      <w:proofErr w:type="spellEnd"/>
      <w:r>
        <w:rPr>
          <w:rFonts w:ascii="Arial" w:eastAsia="Arial" w:hAnsi="Arial" w:cs="Arial"/>
          <w:i/>
          <w:sz w:val="24"/>
          <w:szCs w:val="24"/>
        </w:rPr>
        <w:t xml:space="preserve"> </w:t>
      </w:r>
      <w:proofErr w:type="spellStart"/>
      <w:r>
        <w:rPr>
          <w:rFonts w:ascii="Arial" w:eastAsia="Arial" w:hAnsi="Arial" w:cs="Arial"/>
          <w:i/>
          <w:sz w:val="24"/>
          <w:szCs w:val="24"/>
        </w:rPr>
        <w:t>chronic</w:t>
      </w:r>
      <w:proofErr w:type="spellEnd"/>
      <w:r>
        <w:rPr>
          <w:rFonts w:ascii="Arial" w:eastAsia="Arial" w:hAnsi="Arial" w:cs="Arial"/>
          <w:i/>
          <w:sz w:val="24"/>
          <w:szCs w:val="24"/>
        </w:rPr>
        <w:t xml:space="preserve"> </w:t>
      </w:r>
      <w:proofErr w:type="spellStart"/>
      <w:r>
        <w:rPr>
          <w:rFonts w:ascii="Arial" w:eastAsia="Arial" w:hAnsi="Arial" w:cs="Arial"/>
          <w:i/>
          <w:sz w:val="24"/>
          <w:szCs w:val="24"/>
        </w:rPr>
        <w:t>granulomatous</w:t>
      </w:r>
      <w:proofErr w:type="spellEnd"/>
      <w:r>
        <w:rPr>
          <w:rFonts w:ascii="Arial" w:eastAsia="Arial" w:hAnsi="Arial" w:cs="Arial"/>
          <w:i/>
          <w:sz w:val="24"/>
          <w:szCs w:val="24"/>
        </w:rPr>
        <w:t xml:space="preserve"> </w:t>
      </w:r>
      <w:proofErr w:type="spellStart"/>
      <w:r>
        <w:rPr>
          <w:rFonts w:ascii="Arial" w:eastAsia="Arial" w:hAnsi="Arial" w:cs="Arial"/>
          <w:i/>
          <w:sz w:val="24"/>
          <w:szCs w:val="24"/>
        </w:rPr>
        <w:t>disease</w:t>
      </w:r>
      <w:proofErr w:type="spellEnd"/>
      <w:r>
        <w:rPr>
          <w:rFonts w:ascii="Arial" w:eastAsia="Arial" w:hAnsi="Arial" w:cs="Arial"/>
          <w:i/>
          <w:sz w:val="24"/>
          <w:szCs w:val="24"/>
        </w:rPr>
        <w:t xml:space="preserve"> </w:t>
      </w:r>
      <w:proofErr w:type="spellStart"/>
      <w:r>
        <w:rPr>
          <w:rFonts w:ascii="Arial" w:eastAsia="Arial" w:hAnsi="Arial" w:cs="Arial"/>
          <w:i/>
          <w:sz w:val="24"/>
          <w:szCs w:val="24"/>
        </w:rPr>
        <w:t>and</w:t>
      </w:r>
      <w:proofErr w:type="spellEnd"/>
      <w:r>
        <w:rPr>
          <w:rFonts w:ascii="Arial" w:eastAsia="Arial" w:hAnsi="Arial" w:cs="Arial"/>
          <w:i/>
          <w:sz w:val="24"/>
          <w:szCs w:val="24"/>
        </w:rPr>
        <w:t xml:space="preserve"> </w:t>
      </w:r>
      <w:proofErr w:type="spellStart"/>
      <w:r>
        <w:rPr>
          <w:rFonts w:ascii="Arial" w:eastAsia="Arial" w:hAnsi="Arial" w:cs="Arial"/>
          <w:i/>
          <w:sz w:val="24"/>
          <w:szCs w:val="24"/>
        </w:rPr>
        <w:t>female</w:t>
      </w:r>
      <w:proofErr w:type="spellEnd"/>
      <w:r>
        <w:rPr>
          <w:rFonts w:ascii="Arial" w:eastAsia="Arial" w:hAnsi="Arial" w:cs="Arial"/>
          <w:i/>
          <w:sz w:val="24"/>
          <w:szCs w:val="24"/>
        </w:rPr>
        <w:t xml:space="preserve"> </w:t>
      </w:r>
      <w:proofErr w:type="spellStart"/>
      <w:r>
        <w:rPr>
          <w:rFonts w:ascii="Arial" w:eastAsia="Arial" w:hAnsi="Arial" w:cs="Arial"/>
          <w:i/>
          <w:sz w:val="24"/>
          <w:szCs w:val="24"/>
        </w:rPr>
        <w:t>carriers</w:t>
      </w:r>
      <w:proofErr w:type="spellEnd"/>
      <w:r>
        <w:rPr>
          <w:rFonts w:ascii="Arial" w:eastAsia="Arial" w:hAnsi="Arial" w:cs="Arial"/>
          <w:i/>
          <w:sz w:val="24"/>
          <w:szCs w:val="24"/>
        </w:rPr>
        <w:t xml:space="preserve">. </w:t>
      </w:r>
      <w:r>
        <w:rPr>
          <w:rFonts w:ascii="Arial" w:eastAsia="Arial" w:hAnsi="Arial" w:cs="Arial"/>
          <w:sz w:val="24"/>
          <w:szCs w:val="24"/>
        </w:rPr>
        <w:t xml:space="preserve">J. </w:t>
      </w:r>
      <w:proofErr w:type="spellStart"/>
      <w:proofErr w:type="gramStart"/>
      <w:r>
        <w:rPr>
          <w:rFonts w:ascii="Arial" w:eastAsia="Arial" w:hAnsi="Arial" w:cs="Arial"/>
          <w:sz w:val="24"/>
          <w:szCs w:val="24"/>
        </w:rPr>
        <w:t>Pediatr</w:t>
      </w:r>
      <w:proofErr w:type="spellEnd"/>
      <w:r>
        <w:rPr>
          <w:rFonts w:ascii="Arial" w:eastAsia="Arial" w:hAnsi="Arial" w:cs="Arial"/>
          <w:sz w:val="24"/>
          <w:szCs w:val="24"/>
        </w:rPr>
        <w:t>.,</w:t>
      </w:r>
      <w:proofErr w:type="gramEnd"/>
      <w:r>
        <w:rPr>
          <w:rFonts w:ascii="Arial" w:eastAsia="Arial" w:hAnsi="Arial" w:cs="Arial"/>
          <w:sz w:val="24"/>
          <w:szCs w:val="24"/>
        </w:rPr>
        <w:t xml:space="preserve"> v.83, n.1, p.77-82, 1973.</w:t>
      </w:r>
    </w:p>
    <w:p w:rsidR="006176B9" w:rsidRDefault="006176B9">
      <w:pPr>
        <w:spacing w:after="0" w:line="240" w:lineRule="auto"/>
        <w:jc w:val="both"/>
      </w:pPr>
    </w:p>
    <w:p w:rsidR="006176B9" w:rsidRDefault="00674A6F">
      <w:pPr>
        <w:spacing w:after="0" w:line="240" w:lineRule="auto"/>
        <w:jc w:val="both"/>
      </w:pPr>
      <w:r>
        <w:rPr>
          <w:rFonts w:ascii="Arial" w:eastAsia="Arial" w:hAnsi="Arial" w:cs="Arial"/>
          <w:sz w:val="24"/>
          <w:szCs w:val="24"/>
          <w:highlight w:val="white"/>
        </w:rPr>
        <w:t>OLIVEIRA-JUNIOR</w:t>
      </w:r>
      <w:r>
        <w:rPr>
          <w:rFonts w:ascii="Arial" w:eastAsia="Arial" w:hAnsi="Arial" w:cs="Arial"/>
          <w:sz w:val="24"/>
          <w:szCs w:val="24"/>
        </w:rPr>
        <w:t xml:space="preserve">, E.B., </w:t>
      </w:r>
      <w:r>
        <w:rPr>
          <w:rFonts w:ascii="Arial" w:eastAsia="Arial" w:hAnsi="Arial" w:cs="Arial"/>
          <w:i/>
          <w:sz w:val="24"/>
          <w:szCs w:val="24"/>
        </w:rPr>
        <w:t>et al</w:t>
      </w:r>
      <w:r>
        <w:rPr>
          <w:rFonts w:ascii="Arial" w:eastAsia="Arial" w:hAnsi="Arial" w:cs="Arial"/>
          <w:sz w:val="24"/>
          <w:szCs w:val="24"/>
        </w:rPr>
        <w:t xml:space="preserve">. </w:t>
      </w:r>
      <w:hyperlink r:id="rId5">
        <w:proofErr w:type="spellStart"/>
        <w:r>
          <w:rPr>
            <w:rFonts w:ascii="Arial" w:eastAsia="Arial" w:hAnsi="Arial" w:cs="Arial"/>
            <w:i/>
            <w:sz w:val="24"/>
            <w:szCs w:val="24"/>
            <w:highlight w:val="white"/>
          </w:rPr>
          <w:t>Clinical</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and</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Geno</w:t>
        </w:r>
        <w:r>
          <w:rPr>
            <w:rFonts w:ascii="Arial" w:eastAsia="Arial" w:hAnsi="Arial" w:cs="Arial"/>
            <w:i/>
            <w:sz w:val="24"/>
            <w:szCs w:val="24"/>
            <w:highlight w:val="white"/>
          </w:rPr>
          <w:t>typic</w:t>
        </w:r>
        <w:proofErr w:type="spellEnd"/>
        <w:r>
          <w:rPr>
            <w:rFonts w:ascii="Arial" w:eastAsia="Arial" w:hAnsi="Arial" w:cs="Arial"/>
            <w:i/>
            <w:sz w:val="24"/>
            <w:szCs w:val="24"/>
            <w:highlight w:val="white"/>
          </w:rPr>
          <w:t xml:space="preserve"> Spectrum </w:t>
        </w:r>
        <w:proofErr w:type="spellStart"/>
        <w:r>
          <w:rPr>
            <w:rFonts w:ascii="Arial" w:eastAsia="Arial" w:hAnsi="Arial" w:cs="Arial"/>
            <w:i/>
            <w:sz w:val="24"/>
            <w:szCs w:val="24"/>
            <w:highlight w:val="white"/>
          </w:rPr>
          <w:t>of</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Chronic</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Granulomatous</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Disease</w:t>
        </w:r>
        <w:proofErr w:type="spellEnd"/>
        <w:r>
          <w:rPr>
            <w:rFonts w:ascii="Arial" w:eastAsia="Arial" w:hAnsi="Arial" w:cs="Arial"/>
            <w:i/>
            <w:sz w:val="24"/>
            <w:szCs w:val="24"/>
            <w:highlight w:val="white"/>
          </w:rPr>
          <w:t xml:space="preserve"> in 71 </w:t>
        </w:r>
        <w:proofErr w:type="spellStart"/>
        <w:r>
          <w:rPr>
            <w:rFonts w:ascii="Arial" w:eastAsia="Arial" w:hAnsi="Arial" w:cs="Arial"/>
            <w:i/>
            <w:sz w:val="24"/>
            <w:szCs w:val="24"/>
            <w:highlight w:val="white"/>
          </w:rPr>
          <w:t>Latin</w:t>
        </w:r>
        <w:proofErr w:type="spellEnd"/>
        <w:r>
          <w:rPr>
            <w:rFonts w:ascii="Arial" w:eastAsia="Arial" w:hAnsi="Arial" w:cs="Arial"/>
            <w:i/>
            <w:sz w:val="24"/>
            <w:szCs w:val="24"/>
            <w:highlight w:val="white"/>
          </w:rPr>
          <w:t xml:space="preserve"> American </w:t>
        </w:r>
        <w:proofErr w:type="spellStart"/>
        <w:r>
          <w:rPr>
            <w:rFonts w:ascii="Arial" w:eastAsia="Arial" w:hAnsi="Arial" w:cs="Arial"/>
            <w:i/>
            <w:sz w:val="24"/>
            <w:szCs w:val="24"/>
            <w:highlight w:val="white"/>
          </w:rPr>
          <w:t>Patients</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First</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Report</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from</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the</w:t>
        </w:r>
        <w:proofErr w:type="spellEnd"/>
        <w:r>
          <w:rPr>
            <w:rFonts w:ascii="Arial" w:eastAsia="Arial" w:hAnsi="Arial" w:cs="Arial"/>
            <w:i/>
            <w:sz w:val="24"/>
            <w:szCs w:val="24"/>
            <w:highlight w:val="white"/>
          </w:rPr>
          <w:t xml:space="preserve"> LASID Registry.</w:t>
        </w:r>
      </w:hyperlink>
      <w:r>
        <w:rPr>
          <w:rFonts w:ascii="Arial" w:eastAsia="Arial" w:hAnsi="Arial" w:cs="Arial"/>
          <w:i/>
          <w:sz w:val="24"/>
          <w:szCs w:val="24"/>
        </w:rPr>
        <w:t xml:space="preserve"> </w:t>
      </w:r>
      <w:proofErr w:type="spellStart"/>
      <w:r>
        <w:rPr>
          <w:rFonts w:ascii="Arial" w:eastAsia="Arial" w:hAnsi="Arial" w:cs="Arial"/>
          <w:sz w:val="24"/>
          <w:szCs w:val="24"/>
          <w:highlight w:val="white"/>
        </w:rPr>
        <w:t>Pediatr</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Blood</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Cancer</w:t>
      </w:r>
      <w:proofErr w:type="spellEnd"/>
      <w:r>
        <w:rPr>
          <w:rFonts w:ascii="Arial" w:eastAsia="Arial" w:hAnsi="Arial" w:cs="Arial"/>
          <w:sz w:val="24"/>
          <w:szCs w:val="24"/>
          <w:highlight w:val="white"/>
        </w:rPr>
        <w:t xml:space="preserve">, </w:t>
      </w:r>
      <w:r>
        <w:rPr>
          <w:rFonts w:ascii="Arial" w:eastAsia="Arial" w:hAnsi="Arial" w:cs="Arial"/>
          <w:sz w:val="24"/>
          <w:szCs w:val="24"/>
        </w:rPr>
        <w:t>v.62, n.12, p.</w:t>
      </w:r>
      <w:r>
        <w:rPr>
          <w:rFonts w:ascii="Arial" w:eastAsia="Arial" w:hAnsi="Arial" w:cs="Arial"/>
          <w:sz w:val="24"/>
          <w:szCs w:val="24"/>
          <w:highlight w:val="white"/>
        </w:rPr>
        <w:t>2101-2107</w:t>
      </w:r>
      <w:r>
        <w:rPr>
          <w:rFonts w:ascii="Arial" w:eastAsia="Arial" w:hAnsi="Arial" w:cs="Arial"/>
          <w:sz w:val="24"/>
          <w:szCs w:val="24"/>
        </w:rPr>
        <w:t xml:space="preserve">, </w:t>
      </w:r>
      <w:r>
        <w:rPr>
          <w:rFonts w:ascii="Arial" w:eastAsia="Arial" w:hAnsi="Arial" w:cs="Arial"/>
          <w:sz w:val="24"/>
          <w:szCs w:val="24"/>
          <w:highlight w:val="white"/>
        </w:rPr>
        <w:t>2015</w:t>
      </w:r>
      <w:r>
        <w:rPr>
          <w:rFonts w:ascii="Arial" w:eastAsia="Arial" w:hAnsi="Arial" w:cs="Arial"/>
          <w:sz w:val="24"/>
          <w:szCs w:val="24"/>
        </w:rPr>
        <w:t>.</w:t>
      </w:r>
    </w:p>
    <w:p w:rsidR="006176B9" w:rsidRDefault="006176B9">
      <w:pPr>
        <w:spacing w:after="0" w:line="240" w:lineRule="auto"/>
        <w:jc w:val="both"/>
      </w:pPr>
    </w:p>
    <w:p w:rsidR="006176B9" w:rsidRDefault="00674A6F">
      <w:pPr>
        <w:spacing w:after="0" w:line="240" w:lineRule="auto"/>
        <w:jc w:val="both"/>
      </w:pPr>
      <w:r>
        <w:rPr>
          <w:rFonts w:ascii="Arial" w:eastAsia="Arial" w:hAnsi="Arial" w:cs="Arial"/>
          <w:sz w:val="24"/>
          <w:szCs w:val="24"/>
        </w:rPr>
        <w:t xml:space="preserve">PRANDO, C. </w:t>
      </w:r>
      <w:r>
        <w:rPr>
          <w:rFonts w:ascii="Arial" w:eastAsia="Arial" w:hAnsi="Arial" w:cs="Arial"/>
          <w:i/>
          <w:sz w:val="24"/>
          <w:szCs w:val="24"/>
        </w:rPr>
        <w:t>et al</w:t>
      </w:r>
      <w:r>
        <w:rPr>
          <w:rFonts w:ascii="Arial" w:eastAsia="Arial" w:hAnsi="Arial" w:cs="Arial"/>
          <w:sz w:val="24"/>
          <w:szCs w:val="24"/>
        </w:rPr>
        <w:t xml:space="preserve">. Aspectos clínicos de pacientes sob suspeita de defeito fagocitário. Rev. bras. </w:t>
      </w:r>
      <w:proofErr w:type="spellStart"/>
      <w:proofErr w:type="gramStart"/>
      <w:r>
        <w:rPr>
          <w:rFonts w:ascii="Arial" w:eastAsia="Arial" w:hAnsi="Arial" w:cs="Arial"/>
          <w:sz w:val="24"/>
          <w:szCs w:val="24"/>
        </w:rPr>
        <w:t>alerg</w:t>
      </w:r>
      <w:proofErr w:type="spellEnd"/>
      <w:proofErr w:type="gramEnd"/>
      <w:r>
        <w:rPr>
          <w:rFonts w:ascii="Arial" w:eastAsia="Arial" w:hAnsi="Arial" w:cs="Arial"/>
          <w:sz w:val="24"/>
          <w:szCs w:val="24"/>
        </w:rPr>
        <w:t xml:space="preserve">. </w:t>
      </w:r>
      <w:proofErr w:type="spellStart"/>
      <w:proofErr w:type="gramStart"/>
      <w:r>
        <w:rPr>
          <w:rFonts w:ascii="Arial" w:eastAsia="Arial" w:hAnsi="Arial" w:cs="Arial"/>
          <w:sz w:val="24"/>
          <w:szCs w:val="24"/>
        </w:rPr>
        <w:t>imunopatol</w:t>
      </w:r>
      <w:proofErr w:type="spellEnd"/>
      <w:r>
        <w:rPr>
          <w:rFonts w:ascii="Arial" w:eastAsia="Arial" w:hAnsi="Arial" w:cs="Arial"/>
          <w:sz w:val="24"/>
          <w:szCs w:val="24"/>
        </w:rPr>
        <w:t>.,</w:t>
      </w:r>
      <w:proofErr w:type="gramEnd"/>
      <w:r>
        <w:rPr>
          <w:rFonts w:ascii="Arial" w:eastAsia="Arial" w:hAnsi="Arial" w:cs="Arial"/>
          <w:sz w:val="24"/>
          <w:szCs w:val="24"/>
        </w:rPr>
        <w:t xml:space="preserve"> v.28, n.4, p.187-193, 2005.</w:t>
      </w:r>
    </w:p>
    <w:p w:rsidR="006176B9" w:rsidRDefault="006176B9">
      <w:pPr>
        <w:spacing w:after="0" w:line="240" w:lineRule="auto"/>
        <w:jc w:val="both"/>
      </w:pPr>
    </w:p>
    <w:sectPr w:rsidR="006176B9">
      <w:pgSz w:w="11906" w:h="16838"/>
      <w:pgMar w:top="1701"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B9"/>
    <w:rsid w:val="006176B9"/>
    <w:rsid w:val="00674A6F"/>
    <w:rsid w:val="00C778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5A28D-7156-4A88-ABEB-F02B8F46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cbi.nlm.nih.gov/pubmed/26185101"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E40F-65AF-4BAF-AEDB-870A949A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Leticia</dc:creator>
  <cp:lastModifiedBy>Leticia</cp:lastModifiedBy>
  <cp:revision>2</cp:revision>
  <dcterms:created xsi:type="dcterms:W3CDTF">2016-08-30T20:25:00Z</dcterms:created>
  <dcterms:modified xsi:type="dcterms:W3CDTF">2016-08-30T20:25:00Z</dcterms:modified>
</cp:coreProperties>
</file>