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E4" w:rsidRPr="00FD1207" w:rsidRDefault="00FD1207" w:rsidP="00E414E4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8"/>
          <w:szCs w:val="24"/>
        </w:rPr>
      </w:pPr>
      <w:r w:rsidRPr="00FD1207">
        <w:rPr>
          <w:rFonts w:ascii="Arial" w:hAnsi="Arial" w:cs="Arial"/>
          <w:b/>
          <w:sz w:val="24"/>
        </w:rPr>
        <w:t>ATENDIMENTOS DE SAÚDE MENTAL INFANTIL NO SERVIÇO PÚBLICO DE SAÚDE: UM OLHAR SOBRE O TRANSTORNO DE DÉFICIT DE ATENÇÃO E HIPERATIVIDADE</w:t>
      </w:r>
    </w:p>
    <w:p w:rsidR="00E414E4" w:rsidRPr="006D0C41" w:rsidRDefault="00E414E4" w:rsidP="00E414E4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4"/>
          <w:szCs w:val="24"/>
        </w:rPr>
      </w:pPr>
    </w:p>
    <w:p w:rsidR="003C5A7A" w:rsidRPr="006D0C41" w:rsidRDefault="00056647" w:rsidP="002D05BB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</w:t>
      </w:r>
      <w:r w:rsidR="004B72F0">
        <w:rPr>
          <w:rFonts w:ascii="Arial" w:hAnsi="Arial" w:cs="Arial"/>
          <w:b/>
          <w:sz w:val="24"/>
          <w:szCs w:val="24"/>
        </w:rPr>
        <w:t>es</w:t>
      </w:r>
      <w:r w:rsidR="003C5A7A" w:rsidRPr="006D0C41">
        <w:rPr>
          <w:rFonts w:ascii="Arial" w:hAnsi="Arial" w:cs="Arial"/>
          <w:b/>
          <w:sz w:val="24"/>
          <w:szCs w:val="24"/>
        </w:rPr>
        <w:t xml:space="preserve">: </w:t>
      </w:r>
    </w:p>
    <w:p w:rsidR="002D05BB" w:rsidRPr="006D0C41" w:rsidRDefault="00056647" w:rsidP="003C5A7A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Miguel Raissa</w:t>
      </w:r>
      <w:r w:rsidR="00B0299C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B0299C" w:rsidRDefault="002D05BB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 xml:space="preserve"> Hospital Pequeno Príncipe</w:t>
      </w:r>
    </w:p>
    <w:p w:rsidR="00B0299C" w:rsidRDefault="00B0299C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Adriana Moro </w:t>
      </w:r>
      <w:proofErr w:type="spellStart"/>
      <w:r>
        <w:rPr>
          <w:rFonts w:ascii="Arial" w:hAnsi="Arial" w:cs="Arial"/>
          <w:b/>
          <w:sz w:val="24"/>
          <w:szCs w:val="24"/>
        </w:rPr>
        <w:t>Wieczorkievicz</w:t>
      </w:r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2D05BB" w:rsidRPr="006D0C41" w:rsidRDefault="00B0299C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Luciana Maria </w:t>
      </w:r>
      <w:proofErr w:type="spellStart"/>
      <w:r>
        <w:rPr>
          <w:rFonts w:ascii="Arial" w:hAnsi="Arial" w:cs="Arial"/>
          <w:b/>
          <w:sz w:val="24"/>
          <w:szCs w:val="24"/>
        </w:rPr>
        <w:t>Mazon</w:t>
      </w:r>
      <w:bookmarkEnd w:id="0"/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 w:rsidR="002D05BB" w:rsidRPr="006D0C41">
        <w:rPr>
          <w:rFonts w:ascii="Arial" w:hAnsi="Arial" w:cs="Arial"/>
          <w:b/>
          <w:sz w:val="24"/>
          <w:szCs w:val="24"/>
        </w:rPr>
        <w:t xml:space="preserve"> </w:t>
      </w:r>
    </w:p>
    <w:p w:rsidR="004F3217" w:rsidRDefault="004F3217" w:rsidP="004F3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3217" w:rsidRDefault="004F3217" w:rsidP="001F6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4E4" w:rsidRDefault="004F3217" w:rsidP="00FF2C8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4F3217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10B1">
        <w:rPr>
          <w:rFonts w:ascii="Arial" w:hAnsi="Arial" w:cs="Arial"/>
          <w:sz w:val="24"/>
          <w:szCs w:val="24"/>
        </w:rPr>
        <w:t>O presente trabalho é resultante do Término de Conclusão de Curso (TCC) da graduação em enfermagem. A necessidade do tema se deu pela escassez de pesquisa em saúde mental pela enfermagem, principalmente no que tange o Transtorno do Déficit de Atenção e Hiperatividade (TDAH).</w:t>
      </w:r>
      <w:r w:rsidR="000E4B94">
        <w:rPr>
          <w:rFonts w:ascii="Arial" w:hAnsi="Arial" w:cs="Arial"/>
          <w:sz w:val="24"/>
          <w:szCs w:val="24"/>
        </w:rPr>
        <w:t xml:space="preserve"> </w:t>
      </w:r>
      <w:r w:rsidR="000E4B94" w:rsidRPr="002A5782">
        <w:rPr>
          <w:rFonts w:ascii="Arial" w:hAnsi="Arial" w:cs="Arial"/>
          <w:sz w:val="24"/>
        </w:rPr>
        <w:t xml:space="preserve">Assim como os profissionais médicos, apesar das ações do Programa Saúde na Escola e o acompanhamento infantil em nível de atenção básica, a enfermagem também apresenta dificuldades na identificação, nas orientações aos pais e professores e encaminhamento de crianças ou adolescentes com transtornos possivelmente relacionados com a saúde mental. </w:t>
      </w:r>
      <w:r w:rsidR="000E4B94" w:rsidRPr="000E4B94">
        <w:rPr>
          <w:rFonts w:ascii="Arial" w:hAnsi="Arial" w:cs="Arial"/>
          <w:sz w:val="24"/>
        </w:rPr>
        <w:t>O obj</w:t>
      </w:r>
      <w:r w:rsidR="000E4B94">
        <w:rPr>
          <w:rFonts w:ascii="Arial" w:hAnsi="Arial" w:cs="Arial"/>
          <w:sz w:val="24"/>
        </w:rPr>
        <w:t>etivo do estudo foi caracterização</w:t>
      </w:r>
      <w:r w:rsidR="000E4B94" w:rsidRPr="000E4B94">
        <w:rPr>
          <w:rFonts w:ascii="Arial" w:hAnsi="Arial" w:cs="Arial"/>
          <w:sz w:val="24"/>
        </w:rPr>
        <w:t xml:space="preserve"> </w:t>
      </w:r>
      <w:r w:rsidR="000E4B94">
        <w:rPr>
          <w:rFonts w:ascii="Arial" w:hAnsi="Arial" w:cs="Arial"/>
          <w:sz w:val="24"/>
        </w:rPr>
        <w:t>d</w:t>
      </w:r>
      <w:r w:rsidR="000E4B94" w:rsidRPr="000E4B94">
        <w:rPr>
          <w:rFonts w:ascii="Arial" w:hAnsi="Arial" w:cs="Arial"/>
          <w:sz w:val="24"/>
        </w:rPr>
        <w:t>os atendimentos no serviço público de saúde de crianças e adolescentes diagnosticados com transtorno de déficit de atenção e hiperatividade.</w:t>
      </w:r>
      <w:r w:rsidR="00CD10B1">
        <w:rPr>
          <w:rFonts w:ascii="Arial" w:hAnsi="Arial" w:cs="Arial"/>
          <w:sz w:val="24"/>
          <w:szCs w:val="24"/>
        </w:rPr>
        <w:t xml:space="preserve"> </w:t>
      </w:r>
      <w:r w:rsidR="001F6753" w:rsidRPr="001F675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Palavras-Chave:</w:t>
      </w:r>
      <w:r w:rsidR="001F675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A5BE1" w:rsidRPr="00FD1207">
        <w:rPr>
          <w:rFonts w:ascii="Arial" w:hAnsi="Arial" w:cs="Arial"/>
          <w:sz w:val="24"/>
        </w:rPr>
        <w:t>Enfermagem. TDAH. Saúde mental. Psiquiatria. Criança.</w:t>
      </w:r>
      <w:r w:rsidR="0056176E" w:rsidRPr="00FD1207">
        <w:rPr>
          <w:rFonts w:ascii="Arial" w:hAnsi="Arial" w:cs="Arial"/>
          <w:sz w:val="24"/>
        </w:rPr>
        <w:t xml:space="preserve"> </w:t>
      </w:r>
      <w:r w:rsidR="001743C7" w:rsidRPr="001743C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Revisão Bibliográfica</w:t>
      </w:r>
      <w:r w:rsidR="001743C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2A5782" w:rsidRPr="002A5782">
        <w:t xml:space="preserve"> </w:t>
      </w:r>
      <w:r w:rsidR="000E4B94">
        <w:rPr>
          <w:rFonts w:ascii="Arial" w:hAnsi="Arial" w:cs="Arial"/>
          <w:sz w:val="24"/>
        </w:rPr>
        <w:t>A etiologia do</w:t>
      </w:r>
      <w:r w:rsidR="002A5782" w:rsidRPr="002A5782">
        <w:rPr>
          <w:rFonts w:ascii="Arial" w:hAnsi="Arial" w:cs="Arial"/>
          <w:sz w:val="24"/>
        </w:rPr>
        <w:t xml:space="preserve"> </w:t>
      </w:r>
      <w:r w:rsidR="000E4B94">
        <w:rPr>
          <w:rFonts w:ascii="Arial" w:hAnsi="Arial" w:cs="Arial"/>
          <w:sz w:val="24"/>
        </w:rPr>
        <w:t>TDAH é</w:t>
      </w:r>
      <w:r w:rsidR="002A5782" w:rsidRPr="002A5782">
        <w:rPr>
          <w:rFonts w:ascii="Arial" w:hAnsi="Arial" w:cs="Arial"/>
          <w:sz w:val="24"/>
        </w:rPr>
        <w:t xml:space="preserve"> indefinida, mas acredita-se ser de origem multifatorial e complexa, que envolve muitos fatores, sendo o mais </w:t>
      </w:r>
      <w:r w:rsidR="00FF2C83">
        <w:rPr>
          <w:rFonts w:ascii="Arial" w:hAnsi="Arial" w:cs="Arial"/>
          <w:sz w:val="24"/>
        </w:rPr>
        <w:t xml:space="preserve">destacado o da herança </w:t>
      </w:r>
      <w:proofErr w:type="gramStart"/>
      <w:r w:rsidR="00FF2C83">
        <w:rPr>
          <w:rFonts w:ascii="Arial" w:hAnsi="Arial" w:cs="Arial"/>
          <w:sz w:val="24"/>
        </w:rPr>
        <w:t>genética1</w:t>
      </w:r>
      <w:r w:rsidR="002A5782" w:rsidRPr="002A5782">
        <w:rPr>
          <w:rFonts w:ascii="Arial" w:hAnsi="Arial" w:cs="Arial"/>
          <w:sz w:val="24"/>
        </w:rPr>
        <w:t xml:space="preserve"> .</w:t>
      </w:r>
      <w:proofErr w:type="gramEnd"/>
      <w:r w:rsidR="002A5782" w:rsidRPr="002A5782">
        <w:rPr>
          <w:rFonts w:ascii="Arial" w:hAnsi="Arial" w:cs="Arial"/>
          <w:sz w:val="24"/>
        </w:rPr>
        <w:t xml:space="preserve"> É importante que a persistência dos sintomas em vários locais e ao longo do tempo seja avaliada. Os sintomas de desatenção, hiperatividade, impulsividade precisam ocorrer em vários ambientes da vida da criança e manterem-se constantes ao longo do período avaliado. Por isso diagnosticar o TDAH, requer experiência e maturidade pelo fato do diagnóstico ser essencialmente clínico e o tratamento envolve</w:t>
      </w:r>
      <w:r w:rsidR="000E4B94">
        <w:rPr>
          <w:rFonts w:ascii="Arial" w:hAnsi="Arial" w:cs="Arial"/>
          <w:sz w:val="24"/>
        </w:rPr>
        <w:t>r</w:t>
      </w:r>
      <w:r w:rsidR="002A5782" w:rsidRPr="002A5782">
        <w:rPr>
          <w:rFonts w:ascii="Arial" w:hAnsi="Arial" w:cs="Arial"/>
          <w:sz w:val="24"/>
        </w:rPr>
        <w:t xml:space="preserve"> diversos as</w:t>
      </w:r>
      <w:r w:rsidR="000E4B94">
        <w:rPr>
          <w:rFonts w:ascii="Arial" w:hAnsi="Arial" w:cs="Arial"/>
          <w:sz w:val="24"/>
        </w:rPr>
        <w:t>pectos que são complementares2</w:t>
      </w:r>
      <w:r w:rsidR="002A5782" w:rsidRPr="002A5782">
        <w:rPr>
          <w:rFonts w:ascii="Arial" w:hAnsi="Arial" w:cs="Arial"/>
          <w:sz w:val="24"/>
        </w:rPr>
        <w:t>. Os desconhecimentos em inúmeros aspectos do TDAH são altos, sendo cercados de diversos mitos e conceitos errôneos mesmo entre profissionais q</w:t>
      </w:r>
      <w:r w:rsidR="00FF2C83">
        <w:rPr>
          <w:rFonts w:ascii="Arial" w:hAnsi="Arial" w:cs="Arial"/>
          <w:sz w:val="24"/>
        </w:rPr>
        <w:t xml:space="preserve">ue já lidam com ele </w:t>
      </w:r>
      <w:proofErr w:type="gramStart"/>
      <w:r w:rsidR="00FF2C83">
        <w:rPr>
          <w:rFonts w:ascii="Arial" w:hAnsi="Arial" w:cs="Arial"/>
          <w:sz w:val="24"/>
        </w:rPr>
        <w:t>diretamente3 .</w:t>
      </w:r>
      <w:proofErr w:type="gramEnd"/>
      <w:r w:rsidR="00FF2C83">
        <w:rPr>
          <w:rFonts w:ascii="Arial" w:hAnsi="Arial" w:cs="Arial"/>
          <w:sz w:val="24"/>
        </w:rPr>
        <w:t xml:space="preserve"> Alguns autores3-4</w:t>
      </w:r>
      <w:r w:rsidR="002A5782" w:rsidRPr="002A5782">
        <w:rPr>
          <w:rFonts w:ascii="Arial" w:hAnsi="Arial" w:cs="Arial"/>
          <w:sz w:val="24"/>
        </w:rPr>
        <w:t xml:space="preserve"> constataram em seus estudos que muitos médicos </w:t>
      </w:r>
      <w:r w:rsidR="002A5782" w:rsidRPr="002A5782">
        <w:rPr>
          <w:rFonts w:ascii="Arial" w:hAnsi="Arial" w:cs="Arial"/>
          <w:sz w:val="24"/>
        </w:rPr>
        <w:lastRenderedPageBreak/>
        <w:t>que atuam em cuidados primários encontram dificuldades manejo do TDAH, e que muitos deles receberam pouco ou nenhum treinamento em psiquiatria infantil na sua formação, sendo este um fator de risco, já que também a enfermagem é pouco atuante na área.</w:t>
      </w:r>
      <w:r w:rsidR="002A5782" w:rsidRPr="002A5782">
        <w:rPr>
          <w:sz w:val="24"/>
        </w:rPr>
        <w:t xml:space="preserve"> </w:t>
      </w:r>
      <w:r w:rsidR="006F16CC" w:rsidRPr="002A5782">
        <w:rPr>
          <w:sz w:val="24"/>
        </w:rPr>
        <w:t xml:space="preserve"> </w:t>
      </w:r>
      <w:r w:rsidR="005403F0" w:rsidRPr="005403F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Metodologia:</w:t>
      </w:r>
      <w:r w:rsidR="005403F0" w:rsidRPr="005403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Realizado análise de todos os prontuários existente na instituição (mais de 15.000). A amostra foi composta de 305 prontuários (100%) das crianças em acompanhamento médico para transtorno mental no momento da coleta, desde que não tenha atingido 18 anos de idade. A coleta ocorreu em 2013/2° </w:t>
      </w:r>
      <w:proofErr w:type="gramStart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à</w:t>
      </w:r>
      <w:proofErr w:type="gramEnd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2014/2° semestre. Coletadas as informações através de </w:t>
      </w:r>
      <w:proofErr w:type="spellStart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check-list</w:t>
      </w:r>
      <w:proofErr w:type="spellEnd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Excel, </w:t>
      </w:r>
      <w:r w:rsidR="00FD12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 seguida os dados foram passados ao programa SPSS 21</w:t>
      </w:r>
      <w:r w:rsidR="00CD10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A análise dos dados foi realizada</w:t>
      </w:r>
      <w:r w:rsidR="00FD12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por meio da estatística descritiva e correlações.</w:t>
      </w:r>
      <w:r w:rsidR="00B536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Os dados for</w:t>
      </w:r>
      <w:r w:rsidR="00CD10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B536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</w:t>
      </w:r>
      <w:r w:rsidR="00CD10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discutidos </w:t>
      </w:r>
      <w:r w:rsidR="00FD12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 base no referencial teórico e das recomendações da Sociedade Brasileira de Pediatria e Organização mundial da saúde. </w:t>
      </w:r>
      <w:r w:rsidR="00611C07" w:rsidRPr="00611C0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Conclusão</w:t>
      </w:r>
      <w:r w:rsidR="00611C0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CD10B1">
        <w:t xml:space="preserve"> </w:t>
      </w:r>
      <w:r w:rsidR="00CD10B1">
        <w:rPr>
          <w:rFonts w:ascii="Arial" w:hAnsi="Arial" w:cs="Arial"/>
          <w:sz w:val="24"/>
        </w:rPr>
        <w:t>O</w:t>
      </w:r>
      <w:r w:rsidR="00FD1207" w:rsidRPr="002A5782">
        <w:rPr>
          <w:rFonts w:ascii="Arial" w:hAnsi="Arial" w:cs="Arial"/>
          <w:sz w:val="24"/>
        </w:rPr>
        <w:t xml:space="preserve">bserva-se que as crianças e adolescentes estão recebendo precocemente os diagnósticos de diferentes transtornos mentais, porém a média de idade é compatível </w:t>
      </w:r>
      <w:proofErr w:type="gramStart"/>
      <w:r w:rsidR="00FD1207" w:rsidRPr="002A5782">
        <w:rPr>
          <w:rFonts w:ascii="Arial" w:hAnsi="Arial" w:cs="Arial"/>
          <w:sz w:val="24"/>
        </w:rPr>
        <w:t>a</w:t>
      </w:r>
      <w:proofErr w:type="gramEnd"/>
      <w:r w:rsidR="00FD1207" w:rsidRPr="002A5782">
        <w:rPr>
          <w:rFonts w:ascii="Arial" w:hAnsi="Arial" w:cs="Arial"/>
          <w:sz w:val="24"/>
        </w:rPr>
        <w:t xml:space="preserve"> encontrada na literatura.</w:t>
      </w:r>
      <w:r w:rsidR="002A5782">
        <w:rPr>
          <w:rFonts w:ascii="Arial" w:hAnsi="Arial" w:cs="Arial"/>
          <w:sz w:val="24"/>
        </w:rPr>
        <w:t xml:space="preserve"> Entre meninos prevalecem os transtornos com sintomas </w:t>
      </w:r>
      <w:proofErr w:type="spellStart"/>
      <w:r w:rsidR="002A5782">
        <w:rPr>
          <w:rFonts w:ascii="Arial" w:hAnsi="Arial" w:cs="Arial"/>
          <w:sz w:val="24"/>
        </w:rPr>
        <w:t>externalizantes</w:t>
      </w:r>
      <w:proofErr w:type="spellEnd"/>
      <w:r w:rsidR="002A5782">
        <w:rPr>
          <w:rFonts w:ascii="Arial" w:hAnsi="Arial" w:cs="Arial"/>
          <w:sz w:val="24"/>
        </w:rPr>
        <w:t xml:space="preserve"> </w:t>
      </w:r>
      <w:r w:rsidR="007A1AE1">
        <w:rPr>
          <w:rFonts w:ascii="Arial" w:hAnsi="Arial" w:cs="Arial"/>
          <w:sz w:val="24"/>
        </w:rPr>
        <w:t xml:space="preserve">e nas meninas as de sintomatologia </w:t>
      </w:r>
      <w:proofErr w:type="spellStart"/>
      <w:r w:rsidR="007A1AE1">
        <w:rPr>
          <w:rFonts w:ascii="Arial" w:hAnsi="Arial" w:cs="Arial"/>
          <w:sz w:val="24"/>
        </w:rPr>
        <w:t>internalizantes</w:t>
      </w:r>
      <w:proofErr w:type="spellEnd"/>
      <w:r w:rsidR="007A1AE1">
        <w:rPr>
          <w:rFonts w:ascii="Arial" w:hAnsi="Arial" w:cs="Arial"/>
          <w:sz w:val="24"/>
        </w:rPr>
        <w:t>. Na maioria dos casos são os pais que procuram os serviços de atendimento de saúde mental, e ainda sem encaminhamento. É na idade escolar que são observadas os sintomas de TDAH</w:t>
      </w:r>
      <w:r w:rsidR="00CD10B1">
        <w:rPr>
          <w:rFonts w:ascii="Arial" w:hAnsi="Arial" w:cs="Arial"/>
          <w:sz w:val="24"/>
        </w:rPr>
        <w:t xml:space="preserve">, e muitos educadores </w:t>
      </w:r>
      <w:r w:rsidR="000E4B94">
        <w:rPr>
          <w:rFonts w:ascii="Arial" w:hAnsi="Arial" w:cs="Arial"/>
          <w:sz w:val="24"/>
        </w:rPr>
        <w:t xml:space="preserve">(30,8%) </w:t>
      </w:r>
      <w:r w:rsidR="00CD10B1">
        <w:rPr>
          <w:rFonts w:ascii="Arial" w:hAnsi="Arial" w:cs="Arial"/>
          <w:sz w:val="24"/>
        </w:rPr>
        <w:t xml:space="preserve">encaminham os alunos para o atendimento. Os medicamentos mais prescritos foram metilfenidato e </w:t>
      </w:r>
      <w:proofErr w:type="spellStart"/>
      <w:r w:rsidR="00CD10B1">
        <w:rPr>
          <w:rFonts w:ascii="Arial" w:hAnsi="Arial" w:cs="Arial"/>
          <w:sz w:val="24"/>
        </w:rPr>
        <w:t>imipramina</w:t>
      </w:r>
      <w:proofErr w:type="spellEnd"/>
      <w:r w:rsidR="00CD10B1">
        <w:rPr>
          <w:rFonts w:ascii="Arial" w:hAnsi="Arial" w:cs="Arial"/>
          <w:sz w:val="24"/>
        </w:rPr>
        <w:t xml:space="preserve"> para os clientes diagnosticados com TDAH.</w:t>
      </w:r>
      <w:r w:rsidR="000E4B94"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lang w:eastAsia="pt-BR"/>
        </w:rPr>
        <w:t xml:space="preserve"> </w:t>
      </w:r>
      <w:r w:rsidR="00FD1207">
        <w:rPr>
          <w:rFonts w:ascii="Arial" w:hAnsi="Arial" w:cs="Arial"/>
          <w:sz w:val="24"/>
        </w:rPr>
        <w:t>O</w:t>
      </w:r>
      <w:r w:rsidR="00FD1207" w:rsidRPr="00FD1207">
        <w:rPr>
          <w:rFonts w:ascii="Arial" w:hAnsi="Arial" w:cs="Arial"/>
          <w:sz w:val="24"/>
        </w:rPr>
        <w:t xml:space="preserve"> estudo ab</w:t>
      </w:r>
      <w:r w:rsidR="000E4B94">
        <w:rPr>
          <w:rFonts w:ascii="Arial" w:hAnsi="Arial" w:cs="Arial"/>
          <w:sz w:val="24"/>
        </w:rPr>
        <w:t>re vá</w:t>
      </w:r>
      <w:r w:rsidR="00FD1207" w:rsidRPr="00FD1207">
        <w:rPr>
          <w:rFonts w:ascii="Arial" w:hAnsi="Arial" w:cs="Arial"/>
          <w:sz w:val="24"/>
        </w:rPr>
        <w:t>rias portas para outras pesquisas que também procurem analisar o serviço de saúde com o objetivo de melhorar os atendimentos oferecendo um entendimento para a melhor qualidade de vida das diversas populações, inclusive das crianças e adolescentes.</w:t>
      </w:r>
    </w:p>
    <w:p w:rsidR="00FF2C83" w:rsidRDefault="00FF2C83" w:rsidP="000E4B9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FF2C83" w:rsidRP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bookmarkStart w:id="1" w:name="_Ref491623616"/>
      <w:r>
        <w:rPr>
          <w:sz w:val="23"/>
          <w:szCs w:val="23"/>
        </w:rPr>
        <w:t xml:space="preserve">FIGUEIRA, Fernando. </w:t>
      </w:r>
      <w:r>
        <w:rPr>
          <w:b/>
          <w:bCs/>
          <w:sz w:val="23"/>
          <w:szCs w:val="23"/>
        </w:rPr>
        <w:t xml:space="preserve">Pediatria: </w:t>
      </w:r>
      <w:r>
        <w:rPr>
          <w:sz w:val="23"/>
          <w:szCs w:val="23"/>
        </w:rPr>
        <w:t xml:space="preserve">Instituto materno infantil de Pernambuco. 3. </w:t>
      </w:r>
      <w:proofErr w:type="gramStart"/>
      <w:r>
        <w:rPr>
          <w:sz w:val="23"/>
          <w:szCs w:val="23"/>
        </w:rPr>
        <w:t>ed.</w:t>
      </w:r>
      <w:proofErr w:type="gramEnd"/>
      <w:r>
        <w:rPr>
          <w:sz w:val="23"/>
          <w:szCs w:val="23"/>
        </w:rPr>
        <w:t xml:space="preserve"> Rio de Janeiro: Guanabara Koogan, 2004.</w:t>
      </w:r>
      <w:bookmarkEnd w:id="1"/>
      <w:r>
        <w:rPr>
          <w:sz w:val="23"/>
          <w:szCs w:val="23"/>
        </w:rPr>
        <w:t xml:space="preserve"> </w:t>
      </w:r>
    </w:p>
    <w:p w:rsidR="00FF2C83" w:rsidRP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SANTOS, Letícia de Faria; VASCONCELOS, </w:t>
      </w:r>
      <w:proofErr w:type="spellStart"/>
      <w:r>
        <w:rPr>
          <w:sz w:val="23"/>
          <w:szCs w:val="23"/>
        </w:rPr>
        <w:t>Laércia</w:t>
      </w:r>
      <w:proofErr w:type="spellEnd"/>
      <w:r>
        <w:rPr>
          <w:sz w:val="23"/>
          <w:szCs w:val="23"/>
        </w:rPr>
        <w:t xml:space="preserve"> Abreu. Transtorno do déficit de atenção e hiperatividade em crianças: uma revisão interdisciplinar. </w:t>
      </w:r>
      <w:r>
        <w:rPr>
          <w:b/>
          <w:bCs/>
          <w:sz w:val="23"/>
          <w:szCs w:val="23"/>
        </w:rPr>
        <w:t xml:space="preserve">Psic.: Teor. e Pesq. </w:t>
      </w:r>
      <w:r>
        <w:rPr>
          <w:sz w:val="23"/>
          <w:szCs w:val="23"/>
        </w:rPr>
        <w:t>v. 26, n. 4, p. 717-724, 2010. Disponível em: &lt;</w:t>
      </w:r>
      <w:proofErr w:type="gramStart"/>
      <w:r>
        <w:rPr>
          <w:sz w:val="23"/>
          <w:szCs w:val="23"/>
        </w:rPr>
        <w:t>http://dx.doi.org/10.</w:t>
      </w:r>
      <w:proofErr w:type="gramEnd"/>
      <w:r>
        <w:rPr>
          <w:sz w:val="23"/>
          <w:szCs w:val="23"/>
        </w:rPr>
        <w:t xml:space="preserve">1590/S0102-37722010000400015.&gt; </w:t>
      </w:r>
    </w:p>
    <w:p w:rsid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r>
        <w:rPr>
          <w:sz w:val="23"/>
          <w:szCs w:val="23"/>
        </w:rPr>
        <w:t>MENDONÇA DE ANDRADE, C.; SILVA, W</w:t>
      </w:r>
      <w:proofErr w:type="gramStart"/>
      <w:r>
        <w:rPr>
          <w:sz w:val="23"/>
          <w:szCs w:val="23"/>
        </w:rPr>
        <w:t>.;</w:t>
      </w:r>
      <w:proofErr w:type="gramEnd"/>
      <w:r>
        <w:rPr>
          <w:sz w:val="23"/>
          <w:szCs w:val="23"/>
        </w:rPr>
        <w:t xml:space="preserve"> SILVEIRA FILHO, J. Transtorno de déficit de atenção e hiperatividade (TDAH). </w:t>
      </w:r>
      <w:r>
        <w:rPr>
          <w:b/>
          <w:bCs/>
          <w:sz w:val="23"/>
          <w:szCs w:val="23"/>
        </w:rPr>
        <w:t>Revista Médica de Minas Gerais - RMMG</w:t>
      </w:r>
      <w:r>
        <w:rPr>
          <w:sz w:val="23"/>
          <w:szCs w:val="23"/>
        </w:rPr>
        <w:t>, América do Norte, 2115 05 2012.</w:t>
      </w:r>
    </w:p>
    <w:p w:rsid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REINHARDT, Marcelo C.; REINHARDT, </w:t>
      </w:r>
      <w:proofErr w:type="spellStart"/>
      <w:r>
        <w:rPr>
          <w:sz w:val="23"/>
          <w:szCs w:val="23"/>
        </w:rPr>
        <w:t>Caciane</w:t>
      </w:r>
      <w:proofErr w:type="spellEnd"/>
      <w:r>
        <w:rPr>
          <w:sz w:val="23"/>
          <w:szCs w:val="23"/>
        </w:rPr>
        <w:t xml:space="preserve"> A.U. Transtorno de déficit de atenção/hiperatividade, comorbidades e situações de risco. </w:t>
      </w:r>
      <w:r>
        <w:rPr>
          <w:b/>
          <w:bCs/>
          <w:sz w:val="23"/>
          <w:szCs w:val="23"/>
        </w:rPr>
        <w:t xml:space="preserve">J. </w:t>
      </w:r>
      <w:proofErr w:type="spellStart"/>
      <w:r>
        <w:rPr>
          <w:b/>
          <w:bCs/>
          <w:sz w:val="23"/>
          <w:szCs w:val="23"/>
        </w:rPr>
        <w:t>Pediatr</w:t>
      </w:r>
      <w:proofErr w:type="spellEnd"/>
      <w:r>
        <w:rPr>
          <w:sz w:val="23"/>
          <w:szCs w:val="23"/>
        </w:rPr>
        <w:t xml:space="preserve">. (Rio J.) v. 89, </w:t>
      </w:r>
      <w:r>
        <w:rPr>
          <w:sz w:val="23"/>
          <w:szCs w:val="23"/>
        </w:rPr>
        <w:lastRenderedPageBreak/>
        <w:t>n. 2, p. 124-130, 2013. Disponível em: &lt;</w:t>
      </w:r>
      <w:proofErr w:type="gramStart"/>
      <w:r>
        <w:rPr>
          <w:sz w:val="23"/>
          <w:szCs w:val="23"/>
        </w:rPr>
        <w:t>http://dx.doi.org/10.</w:t>
      </w:r>
      <w:proofErr w:type="gramEnd"/>
      <w:r>
        <w:rPr>
          <w:sz w:val="23"/>
          <w:szCs w:val="23"/>
        </w:rPr>
        <w:t xml:space="preserve">1016/ j.jped.2013.03.015&gt;. </w:t>
      </w:r>
    </w:p>
    <w:p w:rsidR="00FF2C83" w:rsidRDefault="00FF2C83" w:rsidP="00FF2C83">
      <w:pPr>
        <w:pStyle w:val="Default"/>
        <w:rPr>
          <w:sz w:val="23"/>
          <w:szCs w:val="23"/>
        </w:rPr>
      </w:pPr>
    </w:p>
    <w:p w:rsidR="00FF2C83" w:rsidRPr="000E4B94" w:rsidRDefault="00FF2C83" w:rsidP="000E4B9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lang w:eastAsia="pt-BR"/>
        </w:rPr>
      </w:pPr>
    </w:p>
    <w:sectPr w:rsidR="00FF2C83" w:rsidRPr="000E4B94" w:rsidSect="004F3217">
      <w:pgSz w:w="11906" w:h="16838" w:code="9"/>
      <w:pgMar w:top="1701" w:right="1134" w:bottom="1134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F5" w:rsidRDefault="007521F5" w:rsidP="00B0299C">
      <w:pPr>
        <w:spacing w:after="0" w:line="240" w:lineRule="auto"/>
      </w:pPr>
      <w:r>
        <w:separator/>
      </w:r>
    </w:p>
  </w:endnote>
  <w:endnote w:type="continuationSeparator" w:id="0">
    <w:p w:rsidR="007521F5" w:rsidRDefault="007521F5" w:rsidP="00B0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F5" w:rsidRDefault="007521F5" w:rsidP="00B0299C">
      <w:pPr>
        <w:spacing w:after="0" w:line="240" w:lineRule="auto"/>
      </w:pPr>
      <w:r>
        <w:separator/>
      </w:r>
    </w:p>
  </w:footnote>
  <w:footnote w:type="continuationSeparator" w:id="0">
    <w:p w:rsidR="007521F5" w:rsidRDefault="007521F5" w:rsidP="00B0299C">
      <w:pPr>
        <w:spacing w:after="0" w:line="240" w:lineRule="auto"/>
      </w:pPr>
      <w:r>
        <w:continuationSeparator/>
      </w:r>
    </w:p>
  </w:footnote>
  <w:footnote w:id="1">
    <w:p w:rsidR="00B0299C" w:rsidRPr="009720A9" w:rsidRDefault="00B0299C">
      <w:pPr>
        <w:pStyle w:val="Textodenotaderodap"/>
        <w:rPr>
          <w:rFonts w:ascii="Arial" w:hAnsi="Arial" w:cs="Arial"/>
        </w:rPr>
      </w:pPr>
      <w:r w:rsidRPr="009720A9">
        <w:rPr>
          <w:rStyle w:val="Refdenotaderodap"/>
          <w:rFonts w:ascii="Arial" w:hAnsi="Arial" w:cs="Arial"/>
        </w:rPr>
        <w:footnoteRef/>
      </w:r>
      <w:r w:rsidR="004A37B7">
        <w:rPr>
          <w:rFonts w:ascii="Arial" w:hAnsi="Arial" w:cs="Arial"/>
        </w:rPr>
        <w:t xml:space="preserve"> Enfermeiro R</w:t>
      </w:r>
      <w:r w:rsidRPr="009720A9">
        <w:rPr>
          <w:rFonts w:ascii="Arial" w:hAnsi="Arial" w:cs="Arial"/>
        </w:rPr>
        <w:t xml:space="preserve">esidente em Saúde da Criança e do Adolescente pelas Faculdades Pequeno Príncipe – Curitiba, </w:t>
      </w:r>
      <w:proofErr w:type="gramStart"/>
      <w:r w:rsidRPr="009720A9">
        <w:rPr>
          <w:rFonts w:ascii="Arial" w:hAnsi="Arial" w:cs="Arial"/>
        </w:rPr>
        <w:t>PR</w:t>
      </w:r>
      <w:proofErr w:type="gramEnd"/>
    </w:p>
  </w:footnote>
  <w:footnote w:id="2">
    <w:p w:rsidR="00B0299C" w:rsidRPr="009720A9" w:rsidRDefault="00B0299C">
      <w:pPr>
        <w:pStyle w:val="Textodenotaderodap"/>
        <w:rPr>
          <w:rFonts w:ascii="Arial" w:hAnsi="Arial" w:cs="Arial"/>
        </w:rPr>
      </w:pPr>
      <w:r w:rsidRPr="009720A9">
        <w:rPr>
          <w:rStyle w:val="Refdenotaderodap"/>
          <w:rFonts w:ascii="Arial" w:hAnsi="Arial" w:cs="Arial"/>
        </w:rPr>
        <w:footnoteRef/>
      </w:r>
      <w:r w:rsidRPr="009720A9">
        <w:rPr>
          <w:rFonts w:ascii="Arial" w:hAnsi="Arial" w:cs="Arial"/>
        </w:rPr>
        <w:t xml:space="preserve"> Doutoranda em Políticas Públicas/UFPR, docente da Uni</w:t>
      </w:r>
      <w:r w:rsidR="00FF2C83" w:rsidRPr="009720A9">
        <w:rPr>
          <w:rFonts w:ascii="Arial" w:hAnsi="Arial" w:cs="Arial"/>
        </w:rPr>
        <w:t xml:space="preserve">versidade do Contestado </w:t>
      </w:r>
      <w:r w:rsidR="004A37B7">
        <w:rPr>
          <w:rFonts w:ascii="Arial" w:hAnsi="Arial" w:cs="Arial"/>
        </w:rPr>
        <w:t xml:space="preserve">– </w:t>
      </w:r>
      <w:r w:rsidR="00FF2C83" w:rsidRPr="009720A9">
        <w:rPr>
          <w:rFonts w:ascii="Arial" w:hAnsi="Arial" w:cs="Arial"/>
        </w:rPr>
        <w:t xml:space="preserve">Mafra, </w:t>
      </w:r>
      <w:proofErr w:type="gramStart"/>
      <w:r w:rsidRPr="009720A9">
        <w:rPr>
          <w:rFonts w:ascii="Arial" w:hAnsi="Arial" w:cs="Arial"/>
        </w:rPr>
        <w:t>SC</w:t>
      </w:r>
      <w:proofErr w:type="gramEnd"/>
    </w:p>
  </w:footnote>
  <w:footnote w:id="3">
    <w:p w:rsidR="00B0299C" w:rsidRDefault="00B0299C">
      <w:pPr>
        <w:pStyle w:val="Textodenotaderodap"/>
      </w:pPr>
      <w:r w:rsidRPr="009720A9">
        <w:rPr>
          <w:rStyle w:val="Refdenotaderodap"/>
          <w:rFonts w:ascii="Arial" w:hAnsi="Arial" w:cs="Arial"/>
        </w:rPr>
        <w:footnoteRef/>
      </w:r>
      <w:r w:rsidRPr="009720A9">
        <w:rPr>
          <w:rFonts w:ascii="Arial" w:hAnsi="Arial" w:cs="Arial"/>
        </w:rPr>
        <w:t xml:space="preserve"> Doutoranda em Saúde Coletiva/UFSC, docente da Uni</w:t>
      </w:r>
      <w:r w:rsidR="00FF2C83" w:rsidRPr="009720A9">
        <w:rPr>
          <w:rFonts w:ascii="Arial" w:hAnsi="Arial" w:cs="Arial"/>
        </w:rPr>
        <w:t xml:space="preserve">versidade do Contestado </w:t>
      </w:r>
      <w:r w:rsidR="004A37B7">
        <w:rPr>
          <w:rFonts w:ascii="Arial" w:hAnsi="Arial" w:cs="Arial"/>
        </w:rPr>
        <w:t xml:space="preserve">– </w:t>
      </w:r>
      <w:r w:rsidR="00FF2C83" w:rsidRPr="009720A9">
        <w:rPr>
          <w:rFonts w:ascii="Arial" w:hAnsi="Arial" w:cs="Arial"/>
        </w:rPr>
        <w:t xml:space="preserve">Mafra, </w:t>
      </w:r>
      <w:proofErr w:type="gramStart"/>
      <w:r w:rsidR="00FF2C83" w:rsidRPr="009720A9">
        <w:rPr>
          <w:rFonts w:ascii="Arial" w:hAnsi="Arial" w:cs="Arial"/>
        </w:rPr>
        <w:t>SC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8B1"/>
    <w:multiLevelType w:val="hybridMultilevel"/>
    <w:tmpl w:val="AB2E8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5"/>
    <w:rsid w:val="00056647"/>
    <w:rsid w:val="000E4B94"/>
    <w:rsid w:val="0016119E"/>
    <w:rsid w:val="00162428"/>
    <w:rsid w:val="001743C7"/>
    <w:rsid w:val="001A5BE1"/>
    <w:rsid w:val="001F6753"/>
    <w:rsid w:val="00216F8A"/>
    <w:rsid w:val="002A5782"/>
    <w:rsid w:val="002D05BB"/>
    <w:rsid w:val="002F54CD"/>
    <w:rsid w:val="003118C4"/>
    <w:rsid w:val="003C5A7A"/>
    <w:rsid w:val="004A37B7"/>
    <w:rsid w:val="004B72F0"/>
    <w:rsid w:val="004F3217"/>
    <w:rsid w:val="00514438"/>
    <w:rsid w:val="005403F0"/>
    <w:rsid w:val="0056176E"/>
    <w:rsid w:val="005B4E92"/>
    <w:rsid w:val="00611C07"/>
    <w:rsid w:val="00637E8C"/>
    <w:rsid w:val="006D0C41"/>
    <w:rsid w:val="006F16CC"/>
    <w:rsid w:val="007521F5"/>
    <w:rsid w:val="007A1AE1"/>
    <w:rsid w:val="00802557"/>
    <w:rsid w:val="0082565F"/>
    <w:rsid w:val="00845DFE"/>
    <w:rsid w:val="008F6AAC"/>
    <w:rsid w:val="009720A9"/>
    <w:rsid w:val="009D13EB"/>
    <w:rsid w:val="00A027DC"/>
    <w:rsid w:val="00A47595"/>
    <w:rsid w:val="00B0299C"/>
    <w:rsid w:val="00B5369E"/>
    <w:rsid w:val="00BB1DBE"/>
    <w:rsid w:val="00C672C2"/>
    <w:rsid w:val="00C75628"/>
    <w:rsid w:val="00C86115"/>
    <w:rsid w:val="00CD10B1"/>
    <w:rsid w:val="00CE2B20"/>
    <w:rsid w:val="00DE0510"/>
    <w:rsid w:val="00DE7BE4"/>
    <w:rsid w:val="00E414E4"/>
    <w:rsid w:val="00E90D5C"/>
    <w:rsid w:val="00E97E55"/>
    <w:rsid w:val="00F016D9"/>
    <w:rsid w:val="00FD1207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B4E92"/>
  </w:style>
  <w:style w:type="character" w:customStyle="1" w:styleId="apple-converted-space">
    <w:name w:val="apple-converted-space"/>
    <w:basedOn w:val="Fontepargpadro"/>
    <w:rsid w:val="005B4E92"/>
  </w:style>
  <w:style w:type="character" w:customStyle="1" w:styleId="l6">
    <w:name w:val="l6"/>
    <w:basedOn w:val="Fontepargpadro"/>
    <w:rsid w:val="005B4E92"/>
  </w:style>
  <w:style w:type="character" w:customStyle="1" w:styleId="l9">
    <w:name w:val="l9"/>
    <w:basedOn w:val="Fontepargpadro"/>
    <w:rsid w:val="005B4E92"/>
  </w:style>
  <w:style w:type="character" w:customStyle="1" w:styleId="l8">
    <w:name w:val="l8"/>
    <w:basedOn w:val="Fontepargpadro"/>
    <w:rsid w:val="005B4E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9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9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99C"/>
    <w:rPr>
      <w:vertAlign w:val="superscript"/>
    </w:rPr>
  </w:style>
  <w:style w:type="paragraph" w:customStyle="1" w:styleId="Default">
    <w:name w:val="Default"/>
    <w:rsid w:val="00FF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B4E92"/>
  </w:style>
  <w:style w:type="character" w:customStyle="1" w:styleId="apple-converted-space">
    <w:name w:val="apple-converted-space"/>
    <w:basedOn w:val="Fontepargpadro"/>
    <w:rsid w:val="005B4E92"/>
  </w:style>
  <w:style w:type="character" w:customStyle="1" w:styleId="l6">
    <w:name w:val="l6"/>
    <w:basedOn w:val="Fontepargpadro"/>
    <w:rsid w:val="005B4E92"/>
  </w:style>
  <w:style w:type="character" w:customStyle="1" w:styleId="l9">
    <w:name w:val="l9"/>
    <w:basedOn w:val="Fontepargpadro"/>
    <w:rsid w:val="005B4E92"/>
  </w:style>
  <w:style w:type="character" w:customStyle="1" w:styleId="l8">
    <w:name w:val="l8"/>
    <w:basedOn w:val="Fontepargpadro"/>
    <w:rsid w:val="005B4E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9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9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99C"/>
    <w:rPr>
      <w:vertAlign w:val="superscript"/>
    </w:rPr>
  </w:style>
  <w:style w:type="paragraph" w:customStyle="1" w:styleId="Default">
    <w:name w:val="Default"/>
    <w:rsid w:val="00FF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4F76-5539-4A26-A3AC-18C53CC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Yokoyama</dc:creator>
  <cp:lastModifiedBy>Faculdades Pequeno Príncipe</cp:lastModifiedBy>
  <cp:revision>2</cp:revision>
  <dcterms:created xsi:type="dcterms:W3CDTF">2017-12-11T19:21:00Z</dcterms:created>
  <dcterms:modified xsi:type="dcterms:W3CDTF">2017-12-11T19:21:00Z</dcterms:modified>
</cp:coreProperties>
</file>